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14"/>
        <w:gridCol w:w="5183"/>
        <w:gridCol w:w="177"/>
        <w:gridCol w:w="102"/>
        <w:gridCol w:w="408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333B973" w:rsidR="00093CA9" w:rsidRDefault="000C2614" w:rsidP="00093CA9">
            <w:r w:rsidRPr="000C2614">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DF0B0F4" w:rsidR="00093CA9" w:rsidRDefault="00BA5DD4" w:rsidP="00093CA9">
            <w:r w:rsidRPr="00BA5DD4">
              <w:t>Financial Services Authority Regulation No. 14 of 2023 on Carbon Trading through the Carbon Exchange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58B21DBE" w:rsidR="00093CA9" w:rsidRDefault="005D4261" w:rsidP="00093CA9">
            <w:hyperlink r:id="rId17" w:history="1">
              <w:r w:rsidRPr="00207844">
                <w:rPr>
                  <w:rStyle w:val="Hyperlink"/>
                </w:rPr>
                <w:t>https://web.archive.org/web/20250702085101/https://www.idxcarbon.co.id/document/share/3/fb5185f8-a662-44f4-a1f5-f1f1b5ed2b25</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154D481" w:rsidR="00093CA9" w:rsidRDefault="003D48C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055DF01" w:rsidR="00093CA9" w:rsidRPr="00B34F62" w:rsidRDefault="00B34F62" w:rsidP="00B34F62">
            <w:pPr>
              <w:jc w:val="both"/>
              <w:rPr>
                <w:lang w:val="en-ID"/>
              </w:rPr>
            </w:pPr>
            <w:r w:rsidRPr="00B34F62">
              <w:t>The policy tool is a regulatory framework issued by Indonesia’s Financial Services Authority (OJK) that governs carbon trading through a formal carbon exchange (</w:t>
            </w:r>
            <w:r w:rsidRPr="00B34F62">
              <w:rPr>
                <w:i/>
                <w:iCs/>
              </w:rPr>
              <w:t>Bursa Karbon</w:t>
            </w:r>
            <w:r w:rsidRPr="00B34F62">
              <w:t>). The regulation classifies </w:t>
            </w:r>
            <w:r w:rsidRPr="00B34F62">
              <w:rPr>
                <w:i/>
                <w:iCs/>
              </w:rPr>
              <w:t>Unit Karbon</w:t>
            </w:r>
            <w:r w:rsidRPr="00B34F62">
              <w:t> (carbon credits) as securities (</w:t>
            </w:r>
            <w:r w:rsidRPr="00FC4219">
              <w:rPr>
                <w:i/>
                <w:iCs/>
              </w:rPr>
              <w:t>efek</w:t>
            </w:r>
            <w:r w:rsidRPr="00B34F62">
              <w:t>), subjecting them to capital market rules on listing, trading, and settlement. Carbon units must be registered with both the National Registry System for Climate Change Control (SRN-PPI) and the relevant licensed Carbon Exchange Operator. The policy also permits trading of foreign carbon units under strict conditions, including international accreditation and coordination with the Ministry of Environment and Forestry.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F25CADC" w:rsidR="00093CA9" w:rsidRDefault="0012299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26D7FDD2"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70FF6F7" w:rsidR="00093CA9" w:rsidRPr="00173D7C" w:rsidRDefault="00122997"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1ED6F619" w:rsidR="00093CA9" w:rsidRPr="00173D7C" w:rsidRDefault="00122997"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8BC5C0B" w:rsidR="00093CA9" w:rsidRDefault="00FC4219" w:rsidP="00093CA9">
            <w:r>
              <w:t>OJK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122997" w:rsidRPr="006B7B0D" w14:paraId="2A7CB192" w14:textId="77777777" w:rsidTr="2452D0D6">
        <w:trPr>
          <w:trHeight w:val="533"/>
        </w:trPr>
        <w:tc>
          <w:tcPr>
            <w:tcW w:w="1063" w:type="dxa"/>
            <w:vAlign w:val="center"/>
          </w:tcPr>
          <w:p w14:paraId="6DC5D06B" w14:textId="77777777" w:rsidR="00122997" w:rsidRPr="006B7B0D" w:rsidRDefault="00122997" w:rsidP="00122997"/>
        </w:tc>
        <w:tc>
          <w:tcPr>
            <w:tcW w:w="9169" w:type="dxa"/>
            <w:gridSpan w:val="4"/>
            <w:vAlign w:val="center"/>
          </w:tcPr>
          <w:p w14:paraId="58D97C26" w14:textId="04A7374D" w:rsidR="00122997" w:rsidRPr="006B7B0D" w:rsidRDefault="00FC4219" w:rsidP="00122997">
            <w:r>
              <w:t>OJK</w:t>
            </w:r>
          </w:p>
        </w:tc>
      </w:tr>
      <w:tr w:rsidR="00122997" w:rsidRPr="006B7B0D" w14:paraId="2F387FFB" w14:textId="77777777" w:rsidTr="2452D0D6">
        <w:trPr>
          <w:trHeight w:val="63"/>
        </w:trPr>
        <w:tc>
          <w:tcPr>
            <w:tcW w:w="1063" w:type="dxa"/>
            <w:vAlign w:val="center"/>
          </w:tcPr>
          <w:p w14:paraId="0CB4F9DF" w14:textId="77777777" w:rsidR="00122997" w:rsidRPr="006B7B0D" w:rsidRDefault="00122997" w:rsidP="00122997">
            <w:r w:rsidRPr="006B7B0D">
              <w:t>14.1.1</w:t>
            </w:r>
          </w:p>
        </w:tc>
        <w:tc>
          <w:tcPr>
            <w:tcW w:w="9169" w:type="dxa"/>
            <w:gridSpan w:val="4"/>
            <w:shd w:val="clear" w:color="auto" w:fill="DEEAF6" w:themeFill="accent5" w:themeFillTint="33"/>
            <w:vAlign w:val="center"/>
          </w:tcPr>
          <w:p w14:paraId="15E28C99" w14:textId="77777777" w:rsidR="00122997" w:rsidRPr="006B7B0D" w:rsidRDefault="00122997" w:rsidP="00122997">
            <w:r w:rsidRPr="006B7B0D">
              <w:t>To provide contextual information, indicate the extent to which this authority is perceived as having the capacity to undertake this work. Select the appropriate response using an X.</w:t>
            </w:r>
          </w:p>
        </w:tc>
      </w:tr>
      <w:tr w:rsidR="00122997" w:rsidRPr="006B7B0D" w14:paraId="7BA44055" w14:textId="77777777" w:rsidTr="2452D0D6">
        <w:trPr>
          <w:trHeight w:val="63"/>
        </w:trPr>
        <w:tc>
          <w:tcPr>
            <w:tcW w:w="1063" w:type="dxa"/>
            <w:vAlign w:val="center"/>
          </w:tcPr>
          <w:p w14:paraId="25929514" w14:textId="77777777" w:rsidR="00122997" w:rsidRPr="006B7B0D" w:rsidRDefault="00122997" w:rsidP="00122997">
            <w:r w:rsidRPr="006B7B0D">
              <w:t>14.1.1.1</w:t>
            </w:r>
          </w:p>
        </w:tc>
        <w:tc>
          <w:tcPr>
            <w:tcW w:w="4771" w:type="dxa"/>
            <w:gridSpan w:val="3"/>
            <w:shd w:val="clear" w:color="auto" w:fill="E2EFD9" w:themeFill="accent6" w:themeFillTint="33"/>
            <w:vAlign w:val="center"/>
          </w:tcPr>
          <w:p w14:paraId="036DF264" w14:textId="77777777" w:rsidR="00122997" w:rsidRPr="006B7B0D" w:rsidRDefault="00122997" w:rsidP="00122997">
            <w:r w:rsidRPr="006B7B0D">
              <w:t>No capacity</w:t>
            </w:r>
          </w:p>
        </w:tc>
        <w:tc>
          <w:tcPr>
            <w:tcW w:w="4398" w:type="dxa"/>
            <w:vAlign w:val="center"/>
          </w:tcPr>
          <w:p w14:paraId="2BF89CCD" w14:textId="77777777" w:rsidR="00122997" w:rsidRPr="006B7B0D" w:rsidRDefault="00122997" w:rsidP="00122997"/>
        </w:tc>
      </w:tr>
      <w:tr w:rsidR="00122997" w:rsidRPr="006B7B0D" w14:paraId="39BA7EDD" w14:textId="77777777" w:rsidTr="2452D0D6">
        <w:trPr>
          <w:trHeight w:val="63"/>
        </w:trPr>
        <w:tc>
          <w:tcPr>
            <w:tcW w:w="1063" w:type="dxa"/>
            <w:vAlign w:val="center"/>
          </w:tcPr>
          <w:p w14:paraId="6744F13E" w14:textId="77777777" w:rsidR="00122997" w:rsidRPr="006B7B0D" w:rsidRDefault="00122997" w:rsidP="00122997">
            <w:r w:rsidRPr="006B7B0D">
              <w:t>14.1.1.2</w:t>
            </w:r>
          </w:p>
        </w:tc>
        <w:tc>
          <w:tcPr>
            <w:tcW w:w="4771" w:type="dxa"/>
            <w:gridSpan w:val="3"/>
            <w:shd w:val="clear" w:color="auto" w:fill="E2EFD9" w:themeFill="accent6" w:themeFillTint="33"/>
            <w:vAlign w:val="center"/>
          </w:tcPr>
          <w:p w14:paraId="5AE7B4CF" w14:textId="77777777" w:rsidR="00122997" w:rsidRPr="006B7B0D" w:rsidRDefault="00122997" w:rsidP="00122997">
            <w:r w:rsidRPr="006B7B0D">
              <w:t>Low capacity</w:t>
            </w:r>
          </w:p>
        </w:tc>
        <w:tc>
          <w:tcPr>
            <w:tcW w:w="4398" w:type="dxa"/>
            <w:vAlign w:val="center"/>
          </w:tcPr>
          <w:p w14:paraId="06104883" w14:textId="77777777" w:rsidR="00122997" w:rsidRPr="006B7B0D" w:rsidRDefault="00122997" w:rsidP="00122997"/>
        </w:tc>
      </w:tr>
      <w:tr w:rsidR="00122997" w:rsidRPr="006B7B0D" w14:paraId="2B9A716F" w14:textId="77777777" w:rsidTr="2452D0D6">
        <w:trPr>
          <w:trHeight w:val="63"/>
        </w:trPr>
        <w:tc>
          <w:tcPr>
            <w:tcW w:w="1063" w:type="dxa"/>
            <w:vAlign w:val="center"/>
          </w:tcPr>
          <w:p w14:paraId="42A1C3BE" w14:textId="77777777" w:rsidR="00122997" w:rsidRPr="006B7B0D" w:rsidRDefault="00122997" w:rsidP="00122997">
            <w:r w:rsidRPr="006B7B0D">
              <w:t>14.1.1.3</w:t>
            </w:r>
          </w:p>
        </w:tc>
        <w:tc>
          <w:tcPr>
            <w:tcW w:w="4771" w:type="dxa"/>
            <w:gridSpan w:val="3"/>
            <w:shd w:val="clear" w:color="auto" w:fill="E2EFD9" w:themeFill="accent6" w:themeFillTint="33"/>
            <w:vAlign w:val="center"/>
          </w:tcPr>
          <w:p w14:paraId="52DF3999" w14:textId="77777777" w:rsidR="00122997" w:rsidRPr="006B7B0D" w:rsidRDefault="00122997" w:rsidP="00122997">
            <w:r w:rsidRPr="006B7B0D">
              <w:t>Medium capacity</w:t>
            </w:r>
          </w:p>
        </w:tc>
        <w:tc>
          <w:tcPr>
            <w:tcW w:w="4398" w:type="dxa"/>
            <w:vAlign w:val="center"/>
          </w:tcPr>
          <w:p w14:paraId="58B179CC" w14:textId="77777777" w:rsidR="00122997" w:rsidRPr="006B7B0D" w:rsidRDefault="00122997" w:rsidP="00122997"/>
        </w:tc>
      </w:tr>
      <w:tr w:rsidR="00122997" w:rsidRPr="006B7B0D" w14:paraId="68784F43" w14:textId="77777777" w:rsidTr="2452D0D6">
        <w:trPr>
          <w:trHeight w:val="63"/>
        </w:trPr>
        <w:tc>
          <w:tcPr>
            <w:tcW w:w="1063" w:type="dxa"/>
            <w:vAlign w:val="center"/>
          </w:tcPr>
          <w:p w14:paraId="5EFE7F7F" w14:textId="77777777" w:rsidR="00122997" w:rsidRPr="006B7B0D" w:rsidRDefault="00122997" w:rsidP="00122997">
            <w:r w:rsidRPr="006B7B0D">
              <w:t>14.1.1.4</w:t>
            </w:r>
          </w:p>
        </w:tc>
        <w:tc>
          <w:tcPr>
            <w:tcW w:w="4771" w:type="dxa"/>
            <w:gridSpan w:val="3"/>
            <w:shd w:val="clear" w:color="auto" w:fill="E2EFD9" w:themeFill="accent6" w:themeFillTint="33"/>
            <w:vAlign w:val="center"/>
          </w:tcPr>
          <w:p w14:paraId="646E129C" w14:textId="77777777" w:rsidR="00122997" w:rsidRPr="006B7B0D" w:rsidRDefault="00122997" w:rsidP="00122997">
            <w:r w:rsidRPr="006B7B0D">
              <w:t>High capacity</w:t>
            </w:r>
          </w:p>
        </w:tc>
        <w:tc>
          <w:tcPr>
            <w:tcW w:w="4398" w:type="dxa"/>
            <w:vAlign w:val="center"/>
          </w:tcPr>
          <w:p w14:paraId="6DCCE4F4" w14:textId="0814518D" w:rsidR="00122997" w:rsidRPr="006B7B0D" w:rsidRDefault="00122997" w:rsidP="00122997">
            <w:r>
              <w:t>X</w:t>
            </w:r>
          </w:p>
        </w:tc>
      </w:tr>
      <w:tr w:rsidR="00122997" w:rsidRPr="006B7B0D" w14:paraId="06CA77C4" w14:textId="77777777" w:rsidTr="2452D0D6">
        <w:trPr>
          <w:trHeight w:val="63"/>
        </w:trPr>
        <w:tc>
          <w:tcPr>
            <w:tcW w:w="1063" w:type="dxa"/>
            <w:vAlign w:val="center"/>
          </w:tcPr>
          <w:p w14:paraId="6A85A976" w14:textId="77777777" w:rsidR="00122997" w:rsidRPr="006B7B0D" w:rsidRDefault="00122997" w:rsidP="00122997">
            <w:pPr>
              <w:rPr>
                <w:b/>
                <w:bCs/>
              </w:rPr>
            </w:pPr>
            <w:r w:rsidRPr="006B7B0D">
              <w:rPr>
                <w:b/>
                <w:bCs/>
              </w:rPr>
              <w:t>14.2</w:t>
            </w:r>
          </w:p>
        </w:tc>
        <w:tc>
          <w:tcPr>
            <w:tcW w:w="9169" w:type="dxa"/>
            <w:gridSpan w:val="4"/>
            <w:shd w:val="clear" w:color="auto" w:fill="DEEAF6" w:themeFill="accent5" w:themeFillTint="33"/>
            <w:vAlign w:val="center"/>
          </w:tcPr>
          <w:p w14:paraId="24C2F1D4" w14:textId="77777777" w:rsidR="00122997" w:rsidRDefault="00122997" w:rsidP="00122997">
            <w:pPr>
              <w:rPr>
                <w:b/>
                <w:bCs/>
              </w:rPr>
            </w:pPr>
            <w:r>
              <w:rPr>
                <w:b/>
                <w:bCs/>
              </w:rPr>
              <w:t>Authority number 2</w:t>
            </w:r>
          </w:p>
          <w:p w14:paraId="65C42350" w14:textId="77777777" w:rsidR="00122997" w:rsidRPr="00C27879" w:rsidRDefault="00122997" w:rsidP="0012299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122997" w:rsidRDefault="00122997" w:rsidP="00122997"/>
          <w:p w14:paraId="75458349" w14:textId="09DB031C" w:rsidR="00122997" w:rsidRPr="006B7B0D" w:rsidRDefault="00122997" w:rsidP="00122997">
            <w:r w:rsidRPr="006B7B0D">
              <w:t>Name the authority responsible for overseeing implementation and/or enforcement. In the case of EU regulation, limit answers to EU (i.e. supranational) authorities.</w:t>
            </w:r>
          </w:p>
        </w:tc>
      </w:tr>
      <w:tr w:rsidR="00122997" w:rsidRPr="006B7B0D" w14:paraId="7D26AF05" w14:textId="77777777" w:rsidTr="2452D0D6">
        <w:trPr>
          <w:trHeight w:val="533"/>
        </w:trPr>
        <w:tc>
          <w:tcPr>
            <w:tcW w:w="1063" w:type="dxa"/>
            <w:vAlign w:val="center"/>
          </w:tcPr>
          <w:p w14:paraId="2061516D" w14:textId="77777777" w:rsidR="00122997" w:rsidRPr="006B7B0D" w:rsidRDefault="00122997" w:rsidP="00122997">
            <w:pPr>
              <w:rPr>
                <w:b/>
                <w:bCs/>
              </w:rPr>
            </w:pPr>
          </w:p>
        </w:tc>
        <w:tc>
          <w:tcPr>
            <w:tcW w:w="9169" w:type="dxa"/>
            <w:gridSpan w:val="4"/>
            <w:vAlign w:val="center"/>
          </w:tcPr>
          <w:p w14:paraId="507D976A" w14:textId="2E3F798C" w:rsidR="00122997" w:rsidRPr="006B7B0D" w:rsidRDefault="00122997" w:rsidP="00122997">
            <w:r>
              <w:t>Ministry of Environment</w:t>
            </w:r>
          </w:p>
        </w:tc>
      </w:tr>
      <w:tr w:rsidR="00122997" w:rsidRPr="006B7B0D" w14:paraId="6AB9B869" w14:textId="77777777" w:rsidTr="2452D0D6">
        <w:trPr>
          <w:trHeight w:val="63"/>
        </w:trPr>
        <w:tc>
          <w:tcPr>
            <w:tcW w:w="1063" w:type="dxa"/>
            <w:vAlign w:val="center"/>
          </w:tcPr>
          <w:p w14:paraId="50155A23" w14:textId="77777777" w:rsidR="00122997" w:rsidRPr="006B7B0D" w:rsidRDefault="00122997" w:rsidP="00122997">
            <w:r w:rsidRPr="006B7B0D">
              <w:t>14.2.1</w:t>
            </w:r>
          </w:p>
        </w:tc>
        <w:tc>
          <w:tcPr>
            <w:tcW w:w="9169" w:type="dxa"/>
            <w:gridSpan w:val="4"/>
            <w:shd w:val="clear" w:color="auto" w:fill="DEEAF6" w:themeFill="accent5" w:themeFillTint="33"/>
            <w:vAlign w:val="center"/>
          </w:tcPr>
          <w:p w14:paraId="5E2FCC33" w14:textId="77777777" w:rsidR="00122997" w:rsidRPr="006B7B0D" w:rsidRDefault="00122997" w:rsidP="00122997">
            <w:r w:rsidRPr="006B7B0D">
              <w:t>To provide contextual information, indicate the extent to which this authority is perceived as having the capacity to undertake this work. Select the appropriate response using an X.</w:t>
            </w:r>
          </w:p>
        </w:tc>
      </w:tr>
      <w:tr w:rsidR="00122997" w:rsidRPr="006B7B0D" w14:paraId="1BA88269" w14:textId="77777777" w:rsidTr="2452D0D6">
        <w:trPr>
          <w:trHeight w:val="63"/>
        </w:trPr>
        <w:tc>
          <w:tcPr>
            <w:tcW w:w="1063" w:type="dxa"/>
            <w:vAlign w:val="center"/>
          </w:tcPr>
          <w:p w14:paraId="71E485F5" w14:textId="77777777" w:rsidR="00122997" w:rsidRPr="006B7B0D" w:rsidRDefault="00122997" w:rsidP="00122997">
            <w:r w:rsidRPr="006B7B0D">
              <w:t>14.2.1.1</w:t>
            </w:r>
          </w:p>
        </w:tc>
        <w:tc>
          <w:tcPr>
            <w:tcW w:w="4771" w:type="dxa"/>
            <w:gridSpan w:val="3"/>
            <w:shd w:val="clear" w:color="auto" w:fill="E2EFD9" w:themeFill="accent6" w:themeFillTint="33"/>
            <w:vAlign w:val="center"/>
          </w:tcPr>
          <w:p w14:paraId="66F404D5" w14:textId="77777777" w:rsidR="00122997" w:rsidRPr="006B7B0D" w:rsidRDefault="00122997" w:rsidP="00122997">
            <w:r w:rsidRPr="006B7B0D">
              <w:t>No capacity</w:t>
            </w:r>
          </w:p>
        </w:tc>
        <w:tc>
          <w:tcPr>
            <w:tcW w:w="4398" w:type="dxa"/>
            <w:vAlign w:val="center"/>
          </w:tcPr>
          <w:p w14:paraId="3A6A50BF" w14:textId="77777777" w:rsidR="00122997" w:rsidRPr="006B7B0D" w:rsidRDefault="00122997" w:rsidP="00122997"/>
        </w:tc>
      </w:tr>
      <w:tr w:rsidR="00122997" w:rsidRPr="006B7B0D" w14:paraId="5D361E78" w14:textId="77777777" w:rsidTr="2452D0D6">
        <w:trPr>
          <w:trHeight w:val="63"/>
        </w:trPr>
        <w:tc>
          <w:tcPr>
            <w:tcW w:w="1063" w:type="dxa"/>
            <w:vAlign w:val="center"/>
          </w:tcPr>
          <w:p w14:paraId="2A9FB383" w14:textId="77777777" w:rsidR="00122997" w:rsidRPr="006B7B0D" w:rsidRDefault="00122997" w:rsidP="00122997">
            <w:r w:rsidRPr="006B7B0D">
              <w:lastRenderedPageBreak/>
              <w:t>14.2.1.2</w:t>
            </w:r>
          </w:p>
        </w:tc>
        <w:tc>
          <w:tcPr>
            <w:tcW w:w="4771" w:type="dxa"/>
            <w:gridSpan w:val="3"/>
            <w:shd w:val="clear" w:color="auto" w:fill="E2EFD9" w:themeFill="accent6" w:themeFillTint="33"/>
            <w:vAlign w:val="center"/>
          </w:tcPr>
          <w:p w14:paraId="4BB6795D" w14:textId="77777777" w:rsidR="00122997" w:rsidRPr="006B7B0D" w:rsidRDefault="00122997" w:rsidP="00122997">
            <w:r w:rsidRPr="006B7B0D">
              <w:t>Low capacity</w:t>
            </w:r>
          </w:p>
        </w:tc>
        <w:tc>
          <w:tcPr>
            <w:tcW w:w="4398" w:type="dxa"/>
            <w:vAlign w:val="center"/>
          </w:tcPr>
          <w:p w14:paraId="325AB748" w14:textId="621D12AE" w:rsidR="00122997" w:rsidRPr="006B7B0D" w:rsidRDefault="004121FF" w:rsidP="00122997">
            <w:r>
              <w:t>X</w:t>
            </w:r>
          </w:p>
        </w:tc>
      </w:tr>
      <w:tr w:rsidR="00122997" w:rsidRPr="006B7B0D" w14:paraId="18F660AB" w14:textId="77777777" w:rsidTr="2452D0D6">
        <w:trPr>
          <w:trHeight w:val="63"/>
        </w:trPr>
        <w:tc>
          <w:tcPr>
            <w:tcW w:w="1063" w:type="dxa"/>
            <w:vAlign w:val="center"/>
          </w:tcPr>
          <w:p w14:paraId="003BCF38" w14:textId="77777777" w:rsidR="00122997" w:rsidRPr="006B7B0D" w:rsidRDefault="00122997" w:rsidP="00122997">
            <w:r w:rsidRPr="006B7B0D">
              <w:t>14.2.1.3</w:t>
            </w:r>
          </w:p>
        </w:tc>
        <w:tc>
          <w:tcPr>
            <w:tcW w:w="4771" w:type="dxa"/>
            <w:gridSpan w:val="3"/>
            <w:shd w:val="clear" w:color="auto" w:fill="E2EFD9" w:themeFill="accent6" w:themeFillTint="33"/>
            <w:vAlign w:val="center"/>
          </w:tcPr>
          <w:p w14:paraId="118940DB" w14:textId="77777777" w:rsidR="00122997" w:rsidRPr="006B7B0D" w:rsidRDefault="00122997" w:rsidP="00122997">
            <w:r w:rsidRPr="006B7B0D">
              <w:t>Medium capacity</w:t>
            </w:r>
          </w:p>
        </w:tc>
        <w:tc>
          <w:tcPr>
            <w:tcW w:w="4398" w:type="dxa"/>
            <w:vAlign w:val="center"/>
          </w:tcPr>
          <w:p w14:paraId="5989DD29" w14:textId="63F8FD5F" w:rsidR="00122997" w:rsidRPr="006B7B0D" w:rsidRDefault="00122997" w:rsidP="00122997"/>
        </w:tc>
      </w:tr>
      <w:tr w:rsidR="00122997" w:rsidRPr="006B7B0D" w14:paraId="0C248745" w14:textId="77777777" w:rsidTr="2452D0D6">
        <w:trPr>
          <w:trHeight w:val="63"/>
        </w:trPr>
        <w:tc>
          <w:tcPr>
            <w:tcW w:w="1063" w:type="dxa"/>
            <w:vAlign w:val="center"/>
          </w:tcPr>
          <w:p w14:paraId="3EE745F4" w14:textId="77777777" w:rsidR="00122997" w:rsidRPr="006B7B0D" w:rsidRDefault="00122997" w:rsidP="00122997">
            <w:r w:rsidRPr="006B7B0D">
              <w:t>14.2.1.4</w:t>
            </w:r>
          </w:p>
        </w:tc>
        <w:tc>
          <w:tcPr>
            <w:tcW w:w="4771" w:type="dxa"/>
            <w:gridSpan w:val="3"/>
            <w:shd w:val="clear" w:color="auto" w:fill="E2EFD9" w:themeFill="accent6" w:themeFillTint="33"/>
            <w:vAlign w:val="center"/>
          </w:tcPr>
          <w:p w14:paraId="49738692" w14:textId="77777777" w:rsidR="00122997" w:rsidRPr="006B7B0D" w:rsidRDefault="00122997" w:rsidP="00122997">
            <w:r>
              <w:t>High</w:t>
            </w:r>
            <w:r w:rsidRPr="006B7B0D">
              <w:t xml:space="preserve"> capacity</w:t>
            </w:r>
          </w:p>
        </w:tc>
        <w:tc>
          <w:tcPr>
            <w:tcW w:w="4398" w:type="dxa"/>
            <w:vAlign w:val="center"/>
          </w:tcPr>
          <w:p w14:paraId="6FFE5C36" w14:textId="3FA01712" w:rsidR="00122997" w:rsidRPr="006B7B0D" w:rsidRDefault="00122997" w:rsidP="00122997"/>
        </w:tc>
      </w:tr>
      <w:tr w:rsidR="00122997" w:rsidRPr="006B7B0D" w14:paraId="40B951C4" w14:textId="77777777" w:rsidTr="2452D0D6">
        <w:trPr>
          <w:trHeight w:val="63"/>
        </w:trPr>
        <w:tc>
          <w:tcPr>
            <w:tcW w:w="1063" w:type="dxa"/>
            <w:vAlign w:val="center"/>
          </w:tcPr>
          <w:p w14:paraId="70661B16" w14:textId="77777777" w:rsidR="00122997" w:rsidRPr="006B7B0D" w:rsidRDefault="00122997" w:rsidP="00122997">
            <w:pPr>
              <w:rPr>
                <w:b/>
                <w:bCs/>
              </w:rPr>
            </w:pPr>
            <w:r w:rsidRPr="006B7B0D">
              <w:rPr>
                <w:b/>
                <w:bCs/>
              </w:rPr>
              <w:t>14.3</w:t>
            </w:r>
          </w:p>
        </w:tc>
        <w:tc>
          <w:tcPr>
            <w:tcW w:w="9169" w:type="dxa"/>
            <w:gridSpan w:val="4"/>
            <w:shd w:val="clear" w:color="auto" w:fill="DEEAF6" w:themeFill="accent5" w:themeFillTint="33"/>
            <w:vAlign w:val="center"/>
          </w:tcPr>
          <w:p w14:paraId="1829FD9A" w14:textId="77777777" w:rsidR="00122997" w:rsidRDefault="00122997" w:rsidP="00122997">
            <w:pPr>
              <w:rPr>
                <w:b/>
                <w:bCs/>
              </w:rPr>
            </w:pPr>
            <w:r>
              <w:rPr>
                <w:b/>
                <w:bCs/>
              </w:rPr>
              <w:t>Authority number 3</w:t>
            </w:r>
          </w:p>
          <w:p w14:paraId="1DF2B1EC" w14:textId="77777777" w:rsidR="00122997" w:rsidRPr="00C27879" w:rsidRDefault="00122997" w:rsidP="0012299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122997" w:rsidRDefault="00122997" w:rsidP="00122997"/>
          <w:p w14:paraId="5FB5137B" w14:textId="77777777" w:rsidR="00122997" w:rsidRPr="006B7B0D" w:rsidRDefault="00122997" w:rsidP="00122997">
            <w:r w:rsidRPr="006B7B0D">
              <w:t>Name the authority responsible for overseeing implementation and/or enforcement. In the case of EU regulation, limit answers to EU (i.e. supranational) authorities.</w:t>
            </w:r>
          </w:p>
        </w:tc>
      </w:tr>
      <w:tr w:rsidR="00122997" w:rsidRPr="006B7B0D" w14:paraId="5C0A0250" w14:textId="77777777" w:rsidTr="2452D0D6">
        <w:trPr>
          <w:trHeight w:val="533"/>
        </w:trPr>
        <w:tc>
          <w:tcPr>
            <w:tcW w:w="1063" w:type="dxa"/>
            <w:vAlign w:val="center"/>
          </w:tcPr>
          <w:p w14:paraId="2082B541" w14:textId="77777777" w:rsidR="00122997" w:rsidRPr="006B7B0D" w:rsidRDefault="00122997" w:rsidP="00122997">
            <w:pPr>
              <w:rPr>
                <w:b/>
                <w:bCs/>
              </w:rPr>
            </w:pPr>
          </w:p>
        </w:tc>
        <w:tc>
          <w:tcPr>
            <w:tcW w:w="9169" w:type="dxa"/>
            <w:gridSpan w:val="4"/>
            <w:vAlign w:val="center"/>
          </w:tcPr>
          <w:p w14:paraId="51704B6A" w14:textId="601DF738" w:rsidR="00122997" w:rsidRPr="006B7B0D" w:rsidRDefault="00122997" w:rsidP="00122997">
            <w:r>
              <w:t>Ministry of Forest</w:t>
            </w:r>
            <w:r w:rsidR="004121FF">
              <w:t>ry</w:t>
            </w:r>
          </w:p>
        </w:tc>
      </w:tr>
      <w:tr w:rsidR="00122997" w:rsidRPr="006B7B0D" w14:paraId="77D0CF31" w14:textId="77777777" w:rsidTr="2452D0D6">
        <w:trPr>
          <w:trHeight w:val="63"/>
        </w:trPr>
        <w:tc>
          <w:tcPr>
            <w:tcW w:w="1063" w:type="dxa"/>
            <w:vAlign w:val="center"/>
          </w:tcPr>
          <w:p w14:paraId="0707AAFB" w14:textId="77777777" w:rsidR="00122997" w:rsidRPr="006B7B0D" w:rsidRDefault="00122997" w:rsidP="00122997">
            <w:r w:rsidRPr="006B7B0D">
              <w:t>14.3.1</w:t>
            </w:r>
          </w:p>
        </w:tc>
        <w:tc>
          <w:tcPr>
            <w:tcW w:w="9169" w:type="dxa"/>
            <w:gridSpan w:val="4"/>
            <w:shd w:val="clear" w:color="auto" w:fill="DEEAF6" w:themeFill="accent5" w:themeFillTint="33"/>
            <w:vAlign w:val="center"/>
          </w:tcPr>
          <w:p w14:paraId="4C371296" w14:textId="77777777" w:rsidR="00122997" w:rsidRPr="006B7B0D" w:rsidRDefault="00122997" w:rsidP="00122997">
            <w:r w:rsidRPr="006B7B0D">
              <w:t>To provide contextual information, indicate the extent to which this authority is perceived as having the capacity to undertake this work. Select the appropriate response using an X.</w:t>
            </w:r>
          </w:p>
        </w:tc>
      </w:tr>
      <w:tr w:rsidR="00122997" w:rsidRPr="006B7B0D" w14:paraId="2D84148F" w14:textId="77777777" w:rsidTr="2452D0D6">
        <w:trPr>
          <w:trHeight w:val="63"/>
        </w:trPr>
        <w:tc>
          <w:tcPr>
            <w:tcW w:w="1063" w:type="dxa"/>
            <w:vAlign w:val="center"/>
          </w:tcPr>
          <w:p w14:paraId="20A98EAD" w14:textId="77777777" w:rsidR="00122997" w:rsidRPr="006B7B0D" w:rsidRDefault="00122997" w:rsidP="00122997">
            <w:r w:rsidRPr="006B7B0D">
              <w:t>14.3.1.1</w:t>
            </w:r>
          </w:p>
        </w:tc>
        <w:tc>
          <w:tcPr>
            <w:tcW w:w="4771" w:type="dxa"/>
            <w:gridSpan w:val="3"/>
            <w:shd w:val="clear" w:color="auto" w:fill="E2EFD9" w:themeFill="accent6" w:themeFillTint="33"/>
            <w:vAlign w:val="center"/>
          </w:tcPr>
          <w:p w14:paraId="23D350B3" w14:textId="77777777" w:rsidR="00122997" w:rsidRPr="006B7B0D" w:rsidRDefault="00122997" w:rsidP="00122997">
            <w:r w:rsidRPr="006B7B0D">
              <w:t>No capacity</w:t>
            </w:r>
          </w:p>
        </w:tc>
        <w:tc>
          <w:tcPr>
            <w:tcW w:w="4398" w:type="dxa"/>
            <w:vAlign w:val="center"/>
          </w:tcPr>
          <w:p w14:paraId="7CCBB24C" w14:textId="77777777" w:rsidR="00122997" w:rsidRPr="006B7B0D" w:rsidRDefault="00122997" w:rsidP="00122997"/>
        </w:tc>
      </w:tr>
      <w:tr w:rsidR="00122997" w:rsidRPr="006B7B0D" w14:paraId="648A4CEC" w14:textId="77777777" w:rsidTr="2452D0D6">
        <w:trPr>
          <w:trHeight w:val="63"/>
        </w:trPr>
        <w:tc>
          <w:tcPr>
            <w:tcW w:w="1063" w:type="dxa"/>
            <w:vAlign w:val="center"/>
          </w:tcPr>
          <w:p w14:paraId="3F156AAC" w14:textId="77777777" w:rsidR="00122997" w:rsidRPr="006B7B0D" w:rsidRDefault="00122997" w:rsidP="00122997">
            <w:r w:rsidRPr="006B7B0D">
              <w:t>14.3.1.2</w:t>
            </w:r>
          </w:p>
        </w:tc>
        <w:tc>
          <w:tcPr>
            <w:tcW w:w="4771" w:type="dxa"/>
            <w:gridSpan w:val="3"/>
            <w:shd w:val="clear" w:color="auto" w:fill="E2EFD9" w:themeFill="accent6" w:themeFillTint="33"/>
            <w:vAlign w:val="center"/>
          </w:tcPr>
          <w:p w14:paraId="33AA0F38" w14:textId="77777777" w:rsidR="00122997" w:rsidRPr="006B7B0D" w:rsidRDefault="00122997" w:rsidP="00122997">
            <w:r w:rsidRPr="006B7B0D">
              <w:t>Low capacity</w:t>
            </w:r>
          </w:p>
        </w:tc>
        <w:tc>
          <w:tcPr>
            <w:tcW w:w="4398" w:type="dxa"/>
            <w:vAlign w:val="center"/>
          </w:tcPr>
          <w:p w14:paraId="1E169CCE" w14:textId="6052CFC1" w:rsidR="00122997" w:rsidRPr="006B7B0D" w:rsidRDefault="004121FF" w:rsidP="00122997">
            <w:r>
              <w:t>X</w:t>
            </w:r>
          </w:p>
        </w:tc>
      </w:tr>
      <w:tr w:rsidR="00122997" w:rsidRPr="006B7B0D" w14:paraId="52C76AF7" w14:textId="77777777" w:rsidTr="2452D0D6">
        <w:trPr>
          <w:trHeight w:val="63"/>
        </w:trPr>
        <w:tc>
          <w:tcPr>
            <w:tcW w:w="1063" w:type="dxa"/>
            <w:vAlign w:val="center"/>
          </w:tcPr>
          <w:p w14:paraId="28B5DB84" w14:textId="77777777" w:rsidR="00122997" w:rsidRPr="006B7B0D" w:rsidRDefault="00122997" w:rsidP="00122997">
            <w:r w:rsidRPr="006B7B0D">
              <w:t>14.3.1.3</w:t>
            </w:r>
          </w:p>
        </w:tc>
        <w:tc>
          <w:tcPr>
            <w:tcW w:w="4771" w:type="dxa"/>
            <w:gridSpan w:val="3"/>
            <w:shd w:val="clear" w:color="auto" w:fill="E2EFD9" w:themeFill="accent6" w:themeFillTint="33"/>
            <w:vAlign w:val="center"/>
          </w:tcPr>
          <w:p w14:paraId="63B3325D" w14:textId="77777777" w:rsidR="00122997" w:rsidRPr="006B7B0D" w:rsidRDefault="00122997" w:rsidP="00122997">
            <w:r w:rsidRPr="006B7B0D">
              <w:t>Medium capacity</w:t>
            </w:r>
          </w:p>
        </w:tc>
        <w:tc>
          <w:tcPr>
            <w:tcW w:w="4398" w:type="dxa"/>
            <w:vAlign w:val="center"/>
          </w:tcPr>
          <w:p w14:paraId="6CA00AB3" w14:textId="456F77C6" w:rsidR="00122997" w:rsidRPr="006B7B0D" w:rsidRDefault="00122997" w:rsidP="00122997"/>
        </w:tc>
      </w:tr>
      <w:tr w:rsidR="00122997" w:rsidRPr="006B7B0D" w14:paraId="36227F50" w14:textId="77777777" w:rsidTr="2452D0D6">
        <w:trPr>
          <w:trHeight w:val="63"/>
        </w:trPr>
        <w:tc>
          <w:tcPr>
            <w:tcW w:w="1063" w:type="dxa"/>
            <w:vAlign w:val="center"/>
          </w:tcPr>
          <w:p w14:paraId="475F5BD3" w14:textId="77777777" w:rsidR="00122997" w:rsidRPr="006B7B0D" w:rsidRDefault="00122997" w:rsidP="00122997">
            <w:r w:rsidRPr="006B7B0D">
              <w:t>14.3.1.4</w:t>
            </w:r>
          </w:p>
        </w:tc>
        <w:tc>
          <w:tcPr>
            <w:tcW w:w="4771" w:type="dxa"/>
            <w:gridSpan w:val="3"/>
            <w:shd w:val="clear" w:color="auto" w:fill="E2EFD9" w:themeFill="accent6" w:themeFillTint="33"/>
            <w:vAlign w:val="center"/>
          </w:tcPr>
          <w:p w14:paraId="30527C2E" w14:textId="77777777" w:rsidR="00122997" w:rsidRPr="006B7B0D" w:rsidRDefault="00122997" w:rsidP="00122997">
            <w:r w:rsidRPr="006B7B0D">
              <w:t>High capacity</w:t>
            </w:r>
          </w:p>
        </w:tc>
        <w:tc>
          <w:tcPr>
            <w:tcW w:w="4398" w:type="dxa"/>
            <w:vAlign w:val="center"/>
          </w:tcPr>
          <w:p w14:paraId="6772B1F9" w14:textId="77777777" w:rsidR="00122997" w:rsidRPr="006B7B0D" w:rsidRDefault="00122997" w:rsidP="00122997"/>
        </w:tc>
      </w:tr>
      <w:tr w:rsidR="00122997" w:rsidRPr="006B7B0D" w14:paraId="7246BF31" w14:textId="77777777" w:rsidTr="2452D0D6">
        <w:trPr>
          <w:trHeight w:val="63"/>
        </w:trPr>
        <w:tc>
          <w:tcPr>
            <w:tcW w:w="1063" w:type="dxa"/>
            <w:vAlign w:val="center"/>
          </w:tcPr>
          <w:p w14:paraId="647B0271" w14:textId="77777777" w:rsidR="00122997" w:rsidRPr="006B7B0D" w:rsidRDefault="00122997" w:rsidP="00122997">
            <w:pPr>
              <w:rPr>
                <w:b/>
                <w:bCs/>
              </w:rPr>
            </w:pPr>
            <w:r w:rsidRPr="006B7B0D">
              <w:rPr>
                <w:b/>
                <w:bCs/>
              </w:rPr>
              <w:t>14.4</w:t>
            </w:r>
          </w:p>
        </w:tc>
        <w:tc>
          <w:tcPr>
            <w:tcW w:w="9169" w:type="dxa"/>
            <w:gridSpan w:val="4"/>
            <w:shd w:val="clear" w:color="auto" w:fill="DEEAF6" w:themeFill="accent5" w:themeFillTint="33"/>
            <w:vAlign w:val="center"/>
          </w:tcPr>
          <w:p w14:paraId="5E1995D8" w14:textId="77777777" w:rsidR="00122997" w:rsidRDefault="00122997" w:rsidP="00122997">
            <w:pPr>
              <w:rPr>
                <w:b/>
                <w:bCs/>
              </w:rPr>
            </w:pPr>
            <w:r>
              <w:rPr>
                <w:b/>
                <w:bCs/>
              </w:rPr>
              <w:t>Authority number 4</w:t>
            </w:r>
          </w:p>
          <w:p w14:paraId="169675C9" w14:textId="77777777" w:rsidR="00122997" w:rsidRPr="00C27879" w:rsidRDefault="00122997" w:rsidP="0012299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122997" w:rsidRDefault="00122997" w:rsidP="00122997"/>
          <w:p w14:paraId="6F462D5A" w14:textId="77777777" w:rsidR="00122997" w:rsidRPr="006B7B0D" w:rsidRDefault="00122997" w:rsidP="00122997">
            <w:r w:rsidRPr="006B7B0D">
              <w:t>Name the authority responsible for overseeing implementation and/or enforcement. In the case of EU regulation, limit answers to EU (i.e. supranational) authorities.</w:t>
            </w:r>
          </w:p>
        </w:tc>
      </w:tr>
      <w:tr w:rsidR="00122997" w:rsidRPr="006B7B0D" w14:paraId="15ED0B87" w14:textId="77777777" w:rsidTr="2452D0D6">
        <w:trPr>
          <w:trHeight w:val="533"/>
        </w:trPr>
        <w:tc>
          <w:tcPr>
            <w:tcW w:w="1063" w:type="dxa"/>
            <w:vAlign w:val="center"/>
          </w:tcPr>
          <w:p w14:paraId="1F21B16A" w14:textId="77777777" w:rsidR="00122997" w:rsidRPr="006B7B0D" w:rsidRDefault="00122997" w:rsidP="00122997">
            <w:pPr>
              <w:rPr>
                <w:b/>
                <w:bCs/>
              </w:rPr>
            </w:pPr>
          </w:p>
        </w:tc>
        <w:tc>
          <w:tcPr>
            <w:tcW w:w="9169" w:type="dxa"/>
            <w:gridSpan w:val="4"/>
            <w:vAlign w:val="center"/>
          </w:tcPr>
          <w:p w14:paraId="6A9FF7A9" w14:textId="293E067B" w:rsidR="00122997" w:rsidRPr="006B7B0D" w:rsidRDefault="004121FF" w:rsidP="00122997">
            <w:r>
              <w:t>Ministry of Law</w:t>
            </w:r>
          </w:p>
        </w:tc>
      </w:tr>
      <w:tr w:rsidR="00122997" w:rsidRPr="006B7B0D" w14:paraId="24183447" w14:textId="77777777" w:rsidTr="2452D0D6">
        <w:trPr>
          <w:trHeight w:val="63"/>
        </w:trPr>
        <w:tc>
          <w:tcPr>
            <w:tcW w:w="1063" w:type="dxa"/>
            <w:vAlign w:val="center"/>
          </w:tcPr>
          <w:p w14:paraId="41DFFA8E" w14:textId="77777777" w:rsidR="00122997" w:rsidRPr="006B7B0D" w:rsidRDefault="00122997" w:rsidP="00122997">
            <w:r w:rsidRPr="006B7B0D">
              <w:t>14.4.1</w:t>
            </w:r>
          </w:p>
        </w:tc>
        <w:tc>
          <w:tcPr>
            <w:tcW w:w="9169" w:type="dxa"/>
            <w:gridSpan w:val="4"/>
            <w:shd w:val="clear" w:color="auto" w:fill="DEEAF6" w:themeFill="accent5" w:themeFillTint="33"/>
            <w:vAlign w:val="center"/>
          </w:tcPr>
          <w:p w14:paraId="489C027C" w14:textId="77777777" w:rsidR="00122997" w:rsidRPr="006B7B0D" w:rsidRDefault="00122997" w:rsidP="00122997">
            <w:r w:rsidRPr="006B7B0D">
              <w:t>To provide contextual information, indicate the extent to which this authority is perceived as having the capacity to undertake this work. Select the appropriate response using an X.</w:t>
            </w:r>
          </w:p>
        </w:tc>
      </w:tr>
      <w:tr w:rsidR="00122997" w:rsidRPr="006B7B0D" w14:paraId="15E0E51D" w14:textId="77777777" w:rsidTr="2452D0D6">
        <w:trPr>
          <w:trHeight w:val="63"/>
        </w:trPr>
        <w:tc>
          <w:tcPr>
            <w:tcW w:w="1063" w:type="dxa"/>
            <w:vAlign w:val="center"/>
          </w:tcPr>
          <w:p w14:paraId="4F9A4A7B" w14:textId="77777777" w:rsidR="00122997" w:rsidRPr="006B7B0D" w:rsidRDefault="00122997" w:rsidP="00122997">
            <w:r w:rsidRPr="006B7B0D">
              <w:t>14.4.1.1</w:t>
            </w:r>
          </w:p>
        </w:tc>
        <w:tc>
          <w:tcPr>
            <w:tcW w:w="4771" w:type="dxa"/>
            <w:gridSpan w:val="3"/>
            <w:shd w:val="clear" w:color="auto" w:fill="E2EFD9" w:themeFill="accent6" w:themeFillTint="33"/>
            <w:vAlign w:val="center"/>
          </w:tcPr>
          <w:p w14:paraId="6D281D7C" w14:textId="77777777" w:rsidR="00122997" w:rsidRPr="006B7B0D" w:rsidRDefault="00122997" w:rsidP="00122997">
            <w:r w:rsidRPr="006B7B0D">
              <w:t>No capacity</w:t>
            </w:r>
          </w:p>
        </w:tc>
        <w:tc>
          <w:tcPr>
            <w:tcW w:w="4398" w:type="dxa"/>
            <w:vAlign w:val="center"/>
          </w:tcPr>
          <w:p w14:paraId="36FFFEDB" w14:textId="77777777" w:rsidR="00122997" w:rsidRPr="006B7B0D" w:rsidRDefault="00122997" w:rsidP="00122997"/>
        </w:tc>
      </w:tr>
      <w:tr w:rsidR="00122997" w:rsidRPr="006B7B0D" w14:paraId="2ED25454" w14:textId="77777777" w:rsidTr="2452D0D6">
        <w:trPr>
          <w:trHeight w:val="63"/>
        </w:trPr>
        <w:tc>
          <w:tcPr>
            <w:tcW w:w="1063" w:type="dxa"/>
            <w:vAlign w:val="center"/>
          </w:tcPr>
          <w:p w14:paraId="6FC23CEF" w14:textId="77777777" w:rsidR="00122997" w:rsidRPr="006B7B0D" w:rsidRDefault="00122997" w:rsidP="00122997">
            <w:r w:rsidRPr="006B7B0D">
              <w:lastRenderedPageBreak/>
              <w:t>14.4.1.2</w:t>
            </w:r>
          </w:p>
        </w:tc>
        <w:tc>
          <w:tcPr>
            <w:tcW w:w="4771" w:type="dxa"/>
            <w:gridSpan w:val="3"/>
            <w:shd w:val="clear" w:color="auto" w:fill="E2EFD9" w:themeFill="accent6" w:themeFillTint="33"/>
            <w:vAlign w:val="center"/>
          </w:tcPr>
          <w:p w14:paraId="09A88DE5" w14:textId="77777777" w:rsidR="00122997" w:rsidRPr="006B7B0D" w:rsidRDefault="00122997" w:rsidP="00122997">
            <w:r w:rsidRPr="006B7B0D">
              <w:t>Low capacity</w:t>
            </w:r>
          </w:p>
        </w:tc>
        <w:tc>
          <w:tcPr>
            <w:tcW w:w="4398" w:type="dxa"/>
            <w:vAlign w:val="center"/>
          </w:tcPr>
          <w:p w14:paraId="2258416A" w14:textId="4B8B56E7" w:rsidR="00122997" w:rsidRPr="006B7B0D" w:rsidRDefault="004121FF" w:rsidP="00122997">
            <w:r>
              <w:t>X</w:t>
            </w:r>
          </w:p>
        </w:tc>
      </w:tr>
      <w:tr w:rsidR="00122997" w:rsidRPr="006B7B0D" w14:paraId="6F89B1B5" w14:textId="77777777" w:rsidTr="2452D0D6">
        <w:trPr>
          <w:trHeight w:val="63"/>
        </w:trPr>
        <w:tc>
          <w:tcPr>
            <w:tcW w:w="1063" w:type="dxa"/>
            <w:vAlign w:val="center"/>
          </w:tcPr>
          <w:p w14:paraId="55F9E5AB" w14:textId="77777777" w:rsidR="00122997" w:rsidRPr="006B7B0D" w:rsidRDefault="00122997" w:rsidP="00122997">
            <w:r w:rsidRPr="006B7B0D">
              <w:t>14.4.1.3</w:t>
            </w:r>
          </w:p>
        </w:tc>
        <w:tc>
          <w:tcPr>
            <w:tcW w:w="4771" w:type="dxa"/>
            <w:gridSpan w:val="3"/>
            <w:shd w:val="clear" w:color="auto" w:fill="E2EFD9" w:themeFill="accent6" w:themeFillTint="33"/>
            <w:vAlign w:val="center"/>
          </w:tcPr>
          <w:p w14:paraId="6EECB213" w14:textId="77777777" w:rsidR="00122997" w:rsidRPr="006B7B0D" w:rsidRDefault="00122997" w:rsidP="00122997">
            <w:r w:rsidRPr="006B7B0D">
              <w:t>Medium capacity</w:t>
            </w:r>
          </w:p>
        </w:tc>
        <w:tc>
          <w:tcPr>
            <w:tcW w:w="4398" w:type="dxa"/>
            <w:vAlign w:val="center"/>
          </w:tcPr>
          <w:p w14:paraId="097884C2" w14:textId="77777777" w:rsidR="00122997" w:rsidRPr="006B7B0D" w:rsidRDefault="00122997" w:rsidP="00122997"/>
        </w:tc>
      </w:tr>
      <w:tr w:rsidR="00122997" w:rsidRPr="006B7B0D" w14:paraId="58F9C04F" w14:textId="77777777" w:rsidTr="2452D0D6">
        <w:trPr>
          <w:trHeight w:val="63"/>
        </w:trPr>
        <w:tc>
          <w:tcPr>
            <w:tcW w:w="1063" w:type="dxa"/>
            <w:vAlign w:val="center"/>
          </w:tcPr>
          <w:p w14:paraId="1073658B" w14:textId="77777777" w:rsidR="00122997" w:rsidRPr="006B7B0D" w:rsidRDefault="00122997" w:rsidP="00122997">
            <w:r w:rsidRPr="006B7B0D">
              <w:t>14.4.1.4</w:t>
            </w:r>
          </w:p>
        </w:tc>
        <w:tc>
          <w:tcPr>
            <w:tcW w:w="4771" w:type="dxa"/>
            <w:gridSpan w:val="3"/>
            <w:shd w:val="clear" w:color="auto" w:fill="E2EFD9" w:themeFill="accent6" w:themeFillTint="33"/>
            <w:vAlign w:val="center"/>
          </w:tcPr>
          <w:p w14:paraId="360B317B" w14:textId="77777777" w:rsidR="00122997" w:rsidRPr="006B7B0D" w:rsidRDefault="00122997" w:rsidP="00122997">
            <w:r w:rsidRPr="006B7B0D">
              <w:t>High capacity</w:t>
            </w:r>
          </w:p>
        </w:tc>
        <w:tc>
          <w:tcPr>
            <w:tcW w:w="4398" w:type="dxa"/>
            <w:vAlign w:val="center"/>
          </w:tcPr>
          <w:p w14:paraId="6676070F" w14:textId="77777777" w:rsidR="00122997" w:rsidRPr="006B7B0D" w:rsidRDefault="00122997" w:rsidP="00122997"/>
        </w:tc>
      </w:tr>
      <w:tr w:rsidR="00122997" w:rsidRPr="006B7B0D" w14:paraId="09425841" w14:textId="77777777" w:rsidTr="2452D0D6">
        <w:trPr>
          <w:trHeight w:val="63"/>
        </w:trPr>
        <w:tc>
          <w:tcPr>
            <w:tcW w:w="1063" w:type="dxa"/>
            <w:vAlign w:val="center"/>
          </w:tcPr>
          <w:p w14:paraId="00538C31" w14:textId="77777777" w:rsidR="00122997" w:rsidRPr="006B7B0D" w:rsidRDefault="00122997" w:rsidP="00122997">
            <w:pPr>
              <w:rPr>
                <w:b/>
                <w:bCs/>
              </w:rPr>
            </w:pPr>
            <w:r w:rsidRPr="006B7B0D">
              <w:rPr>
                <w:b/>
                <w:bCs/>
              </w:rPr>
              <w:t>14.5</w:t>
            </w:r>
          </w:p>
        </w:tc>
        <w:tc>
          <w:tcPr>
            <w:tcW w:w="9169" w:type="dxa"/>
            <w:gridSpan w:val="4"/>
            <w:shd w:val="clear" w:color="auto" w:fill="DEEAF6" w:themeFill="accent5" w:themeFillTint="33"/>
            <w:vAlign w:val="center"/>
          </w:tcPr>
          <w:p w14:paraId="2035E016" w14:textId="77777777" w:rsidR="00122997" w:rsidRDefault="00122997" w:rsidP="00122997">
            <w:pPr>
              <w:rPr>
                <w:b/>
                <w:bCs/>
              </w:rPr>
            </w:pPr>
            <w:r>
              <w:rPr>
                <w:b/>
                <w:bCs/>
              </w:rPr>
              <w:t>Authority number 5</w:t>
            </w:r>
          </w:p>
          <w:p w14:paraId="4DE26CE2" w14:textId="77777777" w:rsidR="00122997" w:rsidRPr="00C27879" w:rsidRDefault="00122997" w:rsidP="0012299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122997" w:rsidRDefault="00122997" w:rsidP="00122997"/>
          <w:p w14:paraId="4CF90BB1" w14:textId="77777777" w:rsidR="00122997" w:rsidRPr="006B7B0D" w:rsidRDefault="00122997" w:rsidP="00122997">
            <w:r w:rsidRPr="006B7B0D">
              <w:t>Name the authority responsible for overseeing implementation and/or enforcement. In the case of EU regulation, limit answers to EU (i.e. supranational) authorities.</w:t>
            </w:r>
          </w:p>
        </w:tc>
      </w:tr>
      <w:tr w:rsidR="00122997" w:rsidRPr="006B7B0D" w14:paraId="087D6116" w14:textId="77777777" w:rsidTr="2452D0D6">
        <w:trPr>
          <w:trHeight w:val="533"/>
        </w:trPr>
        <w:tc>
          <w:tcPr>
            <w:tcW w:w="1063" w:type="dxa"/>
            <w:vAlign w:val="center"/>
          </w:tcPr>
          <w:p w14:paraId="51405CA6" w14:textId="77777777" w:rsidR="00122997" w:rsidRPr="006B7B0D" w:rsidRDefault="00122997" w:rsidP="00122997">
            <w:pPr>
              <w:rPr>
                <w:b/>
                <w:bCs/>
              </w:rPr>
            </w:pPr>
          </w:p>
        </w:tc>
        <w:tc>
          <w:tcPr>
            <w:tcW w:w="9169" w:type="dxa"/>
            <w:gridSpan w:val="4"/>
            <w:vAlign w:val="center"/>
          </w:tcPr>
          <w:p w14:paraId="2D2F3E7F" w14:textId="77777777" w:rsidR="00122997" w:rsidRPr="006B7B0D" w:rsidRDefault="00122997" w:rsidP="00122997"/>
        </w:tc>
      </w:tr>
      <w:tr w:rsidR="00122997" w:rsidRPr="006B7B0D" w14:paraId="357CC0D4" w14:textId="77777777" w:rsidTr="2452D0D6">
        <w:trPr>
          <w:trHeight w:val="63"/>
        </w:trPr>
        <w:tc>
          <w:tcPr>
            <w:tcW w:w="1063" w:type="dxa"/>
            <w:vAlign w:val="center"/>
          </w:tcPr>
          <w:p w14:paraId="4D023F64" w14:textId="77777777" w:rsidR="00122997" w:rsidRPr="006B7B0D" w:rsidRDefault="00122997" w:rsidP="00122997">
            <w:r w:rsidRPr="006B7B0D">
              <w:t>14.5.1</w:t>
            </w:r>
          </w:p>
        </w:tc>
        <w:tc>
          <w:tcPr>
            <w:tcW w:w="9169" w:type="dxa"/>
            <w:gridSpan w:val="4"/>
            <w:shd w:val="clear" w:color="auto" w:fill="DEEAF6" w:themeFill="accent5" w:themeFillTint="33"/>
            <w:vAlign w:val="center"/>
          </w:tcPr>
          <w:p w14:paraId="6A46B438" w14:textId="77777777" w:rsidR="00122997" w:rsidRPr="006B7B0D" w:rsidRDefault="00122997" w:rsidP="00122997">
            <w:r w:rsidRPr="006B7B0D">
              <w:t>To provide contextual information, indicate the extent to which this authority is perceived as having the capacity to undertake this work. Select the appropriate response using an X.</w:t>
            </w:r>
          </w:p>
        </w:tc>
      </w:tr>
      <w:tr w:rsidR="00122997" w:rsidRPr="006B7B0D" w14:paraId="4CADB610" w14:textId="77777777" w:rsidTr="2452D0D6">
        <w:trPr>
          <w:trHeight w:val="63"/>
        </w:trPr>
        <w:tc>
          <w:tcPr>
            <w:tcW w:w="1063" w:type="dxa"/>
            <w:vAlign w:val="center"/>
          </w:tcPr>
          <w:p w14:paraId="0DFE61DB" w14:textId="77777777" w:rsidR="00122997" w:rsidRPr="006B7B0D" w:rsidRDefault="00122997" w:rsidP="00122997">
            <w:r w:rsidRPr="006B7B0D">
              <w:t>14.5.1.1</w:t>
            </w:r>
          </w:p>
        </w:tc>
        <w:tc>
          <w:tcPr>
            <w:tcW w:w="4771" w:type="dxa"/>
            <w:gridSpan w:val="3"/>
            <w:shd w:val="clear" w:color="auto" w:fill="E2EFD9" w:themeFill="accent6" w:themeFillTint="33"/>
            <w:vAlign w:val="center"/>
          </w:tcPr>
          <w:p w14:paraId="72FCC40E" w14:textId="77777777" w:rsidR="00122997" w:rsidRPr="006B7B0D" w:rsidRDefault="00122997" w:rsidP="00122997">
            <w:r w:rsidRPr="006B7B0D">
              <w:t>No capacity</w:t>
            </w:r>
          </w:p>
        </w:tc>
        <w:tc>
          <w:tcPr>
            <w:tcW w:w="4398" w:type="dxa"/>
            <w:vAlign w:val="center"/>
          </w:tcPr>
          <w:p w14:paraId="65FA4173" w14:textId="77777777" w:rsidR="00122997" w:rsidRPr="006B7B0D" w:rsidRDefault="00122997" w:rsidP="00122997"/>
        </w:tc>
      </w:tr>
      <w:tr w:rsidR="00122997" w:rsidRPr="006B7B0D" w14:paraId="40A766AA" w14:textId="77777777" w:rsidTr="2452D0D6">
        <w:trPr>
          <w:trHeight w:val="63"/>
        </w:trPr>
        <w:tc>
          <w:tcPr>
            <w:tcW w:w="1063" w:type="dxa"/>
            <w:vAlign w:val="center"/>
          </w:tcPr>
          <w:p w14:paraId="3F2E631F" w14:textId="77777777" w:rsidR="00122997" w:rsidRPr="006B7B0D" w:rsidRDefault="00122997" w:rsidP="00122997">
            <w:r w:rsidRPr="006B7B0D">
              <w:t>14.5.1.2</w:t>
            </w:r>
          </w:p>
        </w:tc>
        <w:tc>
          <w:tcPr>
            <w:tcW w:w="4771" w:type="dxa"/>
            <w:gridSpan w:val="3"/>
            <w:shd w:val="clear" w:color="auto" w:fill="E2EFD9" w:themeFill="accent6" w:themeFillTint="33"/>
            <w:vAlign w:val="center"/>
          </w:tcPr>
          <w:p w14:paraId="719D77E5" w14:textId="77777777" w:rsidR="00122997" w:rsidRPr="006B7B0D" w:rsidRDefault="00122997" w:rsidP="00122997">
            <w:r w:rsidRPr="006B7B0D">
              <w:t>Low capacity</w:t>
            </w:r>
          </w:p>
        </w:tc>
        <w:tc>
          <w:tcPr>
            <w:tcW w:w="4398" w:type="dxa"/>
            <w:vAlign w:val="center"/>
          </w:tcPr>
          <w:p w14:paraId="410D9203" w14:textId="77777777" w:rsidR="00122997" w:rsidRPr="006B7B0D" w:rsidRDefault="00122997" w:rsidP="00122997"/>
        </w:tc>
      </w:tr>
      <w:tr w:rsidR="00122997" w:rsidRPr="006B7B0D" w14:paraId="519F945D" w14:textId="77777777" w:rsidTr="2452D0D6">
        <w:trPr>
          <w:trHeight w:val="63"/>
        </w:trPr>
        <w:tc>
          <w:tcPr>
            <w:tcW w:w="1063" w:type="dxa"/>
            <w:vAlign w:val="center"/>
          </w:tcPr>
          <w:p w14:paraId="711A5EF9" w14:textId="77777777" w:rsidR="00122997" w:rsidRPr="006B7B0D" w:rsidRDefault="00122997" w:rsidP="00122997">
            <w:r w:rsidRPr="006B7B0D">
              <w:t>14.5.1.3</w:t>
            </w:r>
          </w:p>
        </w:tc>
        <w:tc>
          <w:tcPr>
            <w:tcW w:w="4771" w:type="dxa"/>
            <w:gridSpan w:val="3"/>
            <w:shd w:val="clear" w:color="auto" w:fill="E2EFD9" w:themeFill="accent6" w:themeFillTint="33"/>
            <w:vAlign w:val="center"/>
          </w:tcPr>
          <w:p w14:paraId="1BBA60C8" w14:textId="77777777" w:rsidR="00122997" w:rsidRPr="006B7B0D" w:rsidRDefault="00122997" w:rsidP="00122997">
            <w:r w:rsidRPr="006B7B0D">
              <w:t>Medium capacity</w:t>
            </w:r>
          </w:p>
        </w:tc>
        <w:tc>
          <w:tcPr>
            <w:tcW w:w="4398" w:type="dxa"/>
            <w:vAlign w:val="center"/>
          </w:tcPr>
          <w:p w14:paraId="581FA8E7" w14:textId="77777777" w:rsidR="00122997" w:rsidRPr="006B7B0D" w:rsidRDefault="00122997" w:rsidP="00122997"/>
        </w:tc>
      </w:tr>
      <w:tr w:rsidR="00122997" w:rsidRPr="006B7B0D" w14:paraId="17FA048F" w14:textId="77777777" w:rsidTr="2452D0D6">
        <w:trPr>
          <w:trHeight w:val="63"/>
        </w:trPr>
        <w:tc>
          <w:tcPr>
            <w:tcW w:w="1063" w:type="dxa"/>
            <w:vAlign w:val="center"/>
          </w:tcPr>
          <w:p w14:paraId="720B8395" w14:textId="77777777" w:rsidR="00122997" w:rsidRPr="006B7B0D" w:rsidRDefault="00122997" w:rsidP="00122997">
            <w:r w:rsidRPr="006B7B0D">
              <w:t>14.5.1.4</w:t>
            </w:r>
          </w:p>
        </w:tc>
        <w:tc>
          <w:tcPr>
            <w:tcW w:w="4771" w:type="dxa"/>
            <w:gridSpan w:val="3"/>
            <w:shd w:val="clear" w:color="auto" w:fill="E2EFD9" w:themeFill="accent6" w:themeFillTint="33"/>
            <w:vAlign w:val="center"/>
          </w:tcPr>
          <w:p w14:paraId="3EC3D620" w14:textId="77777777" w:rsidR="00122997" w:rsidRPr="006B7B0D" w:rsidRDefault="00122997" w:rsidP="00122997">
            <w:r w:rsidRPr="006B7B0D">
              <w:t>High capacity</w:t>
            </w:r>
          </w:p>
        </w:tc>
        <w:tc>
          <w:tcPr>
            <w:tcW w:w="4398" w:type="dxa"/>
            <w:vAlign w:val="center"/>
          </w:tcPr>
          <w:p w14:paraId="79FA7226" w14:textId="77777777" w:rsidR="00122997" w:rsidRPr="006B7B0D" w:rsidRDefault="00122997" w:rsidP="00122997"/>
        </w:tc>
      </w:tr>
      <w:tr w:rsidR="00122997" w14:paraId="5949482C" w14:textId="77777777" w:rsidTr="2452D0D6">
        <w:trPr>
          <w:trHeight w:val="984"/>
        </w:trPr>
        <w:tc>
          <w:tcPr>
            <w:tcW w:w="1063" w:type="dxa"/>
            <w:vAlign w:val="center"/>
          </w:tcPr>
          <w:p w14:paraId="6D8D92E0" w14:textId="77777777" w:rsidR="00122997" w:rsidRPr="00BA1D39" w:rsidRDefault="00122997" w:rsidP="00122997">
            <w:pPr>
              <w:rPr>
                <w:b/>
                <w:bCs/>
              </w:rPr>
            </w:pPr>
            <w:r w:rsidRPr="00BA1D39">
              <w:rPr>
                <w:b/>
                <w:bCs/>
              </w:rPr>
              <w:t>15</w:t>
            </w:r>
          </w:p>
        </w:tc>
        <w:tc>
          <w:tcPr>
            <w:tcW w:w="9169" w:type="dxa"/>
            <w:gridSpan w:val="4"/>
            <w:shd w:val="clear" w:color="auto" w:fill="DEEAF6" w:themeFill="accent5" w:themeFillTint="33"/>
            <w:vAlign w:val="center"/>
          </w:tcPr>
          <w:p w14:paraId="6B488CAA" w14:textId="77777777" w:rsidR="00122997" w:rsidRDefault="00122997" w:rsidP="00122997">
            <w:r>
              <w:t>If relevant, please provide additional information to clarify the reasoning behind the response to Q14.</w:t>
            </w:r>
          </w:p>
        </w:tc>
      </w:tr>
      <w:tr w:rsidR="00122997" w14:paraId="50F2DDFC" w14:textId="77777777" w:rsidTr="2452D0D6">
        <w:trPr>
          <w:trHeight w:val="1020"/>
        </w:trPr>
        <w:tc>
          <w:tcPr>
            <w:tcW w:w="1063" w:type="dxa"/>
            <w:vAlign w:val="center"/>
          </w:tcPr>
          <w:p w14:paraId="6B62A7E8" w14:textId="77777777" w:rsidR="00122997" w:rsidRDefault="00122997" w:rsidP="00122997"/>
        </w:tc>
        <w:tc>
          <w:tcPr>
            <w:tcW w:w="9169" w:type="dxa"/>
            <w:gridSpan w:val="4"/>
            <w:vAlign w:val="center"/>
          </w:tcPr>
          <w:p w14:paraId="5E898421" w14:textId="5FD15451" w:rsidR="004121FF" w:rsidRDefault="004121FF" w:rsidP="004121F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lang w:val="en-ID"/>
              </w:rPr>
            </w:pPr>
            <w:r w:rsidRPr="004121FF">
              <w:rPr>
                <w:lang w:val="en-ID"/>
              </w:rPr>
              <w:t xml:space="preserve">The </w:t>
            </w:r>
            <w:r w:rsidR="000A0A87">
              <w:rPr>
                <w:lang w:val="en-ID"/>
              </w:rPr>
              <w:t>OJK</w:t>
            </w:r>
            <w:r w:rsidRPr="004121FF">
              <w:rPr>
                <w:lang w:val="en-ID"/>
              </w:rPr>
              <w:t xml:space="preserve"> serves as the primary authority responsible for implementing and enforcing </w:t>
            </w:r>
            <w:r>
              <w:rPr>
                <w:lang w:val="en-ID"/>
              </w:rPr>
              <w:t>of the policy tool</w:t>
            </w:r>
            <w:r w:rsidRPr="004121FF">
              <w:rPr>
                <w:lang w:val="en-ID"/>
              </w:rPr>
              <w:t>, in line with its core mandate to regulate and supervise financial services, particularly capital markets. Since carbon units are classified as securities, OJK oversees the licensing, operation, and conduct of carbon exchange operators, ensuring trading activities are fair, orderly, and transparent.</w:t>
            </w:r>
          </w:p>
          <w:p w14:paraId="17D4F70F" w14:textId="77777777" w:rsidR="004121FF" w:rsidRPr="004121FF" w:rsidRDefault="004121FF" w:rsidP="004121F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lang w:val="en-ID"/>
              </w:rPr>
            </w:pPr>
          </w:p>
          <w:p w14:paraId="5C9EC0E0" w14:textId="35186BE2" w:rsidR="004121FF" w:rsidRDefault="004121FF" w:rsidP="004121F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lang w:val="en-ID"/>
              </w:rPr>
            </w:pPr>
            <w:r w:rsidRPr="004121FF">
              <w:rPr>
                <w:lang w:val="en-ID"/>
              </w:rPr>
              <w:t>The Ministry of Environment and Forestry plays a supporting role by providing environmental oversight. OJK coordinates with the Ministry when determining additional requirements for foreign carbon units</w:t>
            </w:r>
            <w:r w:rsidR="0052153D">
              <w:rPr>
                <w:lang w:val="en-ID"/>
              </w:rPr>
              <w:t xml:space="preserve"> and carbon exchange’s operator reporting,</w:t>
            </w:r>
            <w:r w:rsidRPr="004121FF">
              <w:rPr>
                <w:lang w:val="en-ID"/>
              </w:rPr>
              <w:t xml:space="preserve"> </w:t>
            </w:r>
            <w:r w:rsidR="0052153D">
              <w:rPr>
                <w:lang w:val="en-ID"/>
              </w:rPr>
              <w:t xml:space="preserve">this ensures </w:t>
            </w:r>
            <w:r w:rsidRPr="004121FF">
              <w:rPr>
                <w:lang w:val="en-ID"/>
              </w:rPr>
              <w:t>environmental standards and national climate objectives are upheld.</w:t>
            </w:r>
          </w:p>
          <w:p w14:paraId="63B8F0A2" w14:textId="77777777" w:rsidR="004121FF" w:rsidRPr="004121FF" w:rsidRDefault="004121FF" w:rsidP="004121F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lang w:val="en-ID"/>
              </w:rPr>
            </w:pPr>
          </w:p>
          <w:p w14:paraId="42D06D03" w14:textId="4A8DE555" w:rsidR="00122997" w:rsidRPr="004121FF" w:rsidRDefault="004121FF" w:rsidP="004121F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lang w:val="en-ID"/>
              </w:rPr>
            </w:pPr>
            <w:r w:rsidRPr="004121FF">
              <w:rPr>
                <w:lang w:val="en-ID"/>
              </w:rPr>
              <w:t xml:space="preserve">The Ministry of Law and Human Rights is involved in corporate administrative matters, particularly in processing changes to </w:t>
            </w:r>
            <w:r>
              <w:rPr>
                <w:lang w:val="en-ID"/>
              </w:rPr>
              <w:t>an entity</w:t>
            </w:r>
            <w:r w:rsidRPr="004121FF">
              <w:rPr>
                <w:lang w:val="en-ID"/>
              </w:rPr>
              <w:t xml:space="preserve"> articles of association </w:t>
            </w:r>
            <w:r>
              <w:rPr>
                <w:lang w:val="en-ID"/>
              </w:rPr>
              <w:t>as</w:t>
            </w:r>
            <w:r w:rsidRPr="004121FF">
              <w:rPr>
                <w:lang w:val="en-ID"/>
              </w:rPr>
              <w:t xml:space="preserve"> carbon exchange </w:t>
            </w:r>
            <w:r w:rsidRPr="004121FF">
              <w:rPr>
                <w:lang w:val="en-ID"/>
              </w:rPr>
              <w:lastRenderedPageBreak/>
              <w:t>operators. Such changes must first be approved by OJK before being submitted to the Ministry</w:t>
            </w:r>
            <w:r>
              <w:rPr>
                <w:lang w:val="en-ID"/>
              </w:rPr>
              <w:t xml:space="preserve"> of Law</w:t>
            </w:r>
            <w:r w:rsidRPr="004121FF">
              <w:rPr>
                <w:lang w:val="en-ID"/>
              </w:rPr>
              <w:t>, reinforcing OJK’s position as the lead regulatory body in the carbon trading framework.</w:t>
            </w:r>
          </w:p>
        </w:tc>
      </w:tr>
      <w:tr w:rsidR="00122997" w14:paraId="7C1E73C1" w14:textId="77777777" w:rsidTr="2452D0D6">
        <w:trPr>
          <w:trHeight w:val="800"/>
        </w:trPr>
        <w:tc>
          <w:tcPr>
            <w:tcW w:w="1063" w:type="dxa"/>
            <w:vAlign w:val="center"/>
          </w:tcPr>
          <w:p w14:paraId="103AFAD8" w14:textId="77777777" w:rsidR="00122997" w:rsidRPr="00BA1D39" w:rsidRDefault="00122997" w:rsidP="00122997">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122997" w:rsidRDefault="00122997" w:rsidP="0012299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22997" w14:paraId="619A4BF8" w14:textId="77777777" w:rsidTr="2452D0D6">
        <w:trPr>
          <w:trHeight w:val="57"/>
        </w:trPr>
        <w:tc>
          <w:tcPr>
            <w:tcW w:w="1063" w:type="dxa"/>
            <w:vAlign w:val="center"/>
          </w:tcPr>
          <w:p w14:paraId="374B9AE4" w14:textId="77777777" w:rsidR="00122997" w:rsidRDefault="00122997" w:rsidP="00122997">
            <w:r>
              <w:t>16.1</w:t>
            </w:r>
          </w:p>
        </w:tc>
        <w:tc>
          <w:tcPr>
            <w:tcW w:w="4686" w:type="dxa"/>
            <w:gridSpan w:val="2"/>
            <w:shd w:val="clear" w:color="auto" w:fill="E2EFD9" w:themeFill="accent6" w:themeFillTint="33"/>
            <w:vAlign w:val="center"/>
          </w:tcPr>
          <w:p w14:paraId="6A81E655" w14:textId="77777777" w:rsidR="00122997" w:rsidRDefault="00122997" w:rsidP="00122997">
            <w:r>
              <w:t>Not specified</w:t>
            </w:r>
          </w:p>
        </w:tc>
        <w:tc>
          <w:tcPr>
            <w:tcW w:w="4483" w:type="dxa"/>
            <w:gridSpan w:val="2"/>
            <w:vAlign w:val="center"/>
          </w:tcPr>
          <w:p w14:paraId="146E2BFD" w14:textId="77777777" w:rsidR="00122997" w:rsidRDefault="00122997" w:rsidP="00122997"/>
        </w:tc>
      </w:tr>
      <w:tr w:rsidR="00122997" w14:paraId="461D4D38" w14:textId="77777777" w:rsidTr="2452D0D6">
        <w:trPr>
          <w:trHeight w:val="57"/>
        </w:trPr>
        <w:tc>
          <w:tcPr>
            <w:tcW w:w="1063" w:type="dxa"/>
            <w:vAlign w:val="center"/>
          </w:tcPr>
          <w:p w14:paraId="776158BC" w14:textId="77777777" w:rsidR="00122997" w:rsidRDefault="00122997" w:rsidP="00122997">
            <w:r>
              <w:t>16.2</w:t>
            </w:r>
          </w:p>
        </w:tc>
        <w:tc>
          <w:tcPr>
            <w:tcW w:w="4686" w:type="dxa"/>
            <w:gridSpan w:val="2"/>
            <w:shd w:val="clear" w:color="auto" w:fill="E2EFD9" w:themeFill="accent6" w:themeFillTint="33"/>
            <w:vAlign w:val="center"/>
          </w:tcPr>
          <w:p w14:paraId="6C9616DC" w14:textId="77777777" w:rsidR="00122997" w:rsidRDefault="00122997" w:rsidP="00122997">
            <w:r>
              <w:t>Yes</w:t>
            </w:r>
          </w:p>
        </w:tc>
        <w:tc>
          <w:tcPr>
            <w:tcW w:w="4483" w:type="dxa"/>
            <w:gridSpan w:val="2"/>
            <w:vAlign w:val="center"/>
          </w:tcPr>
          <w:p w14:paraId="54F7EBC8" w14:textId="71A84F2A" w:rsidR="00122997" w:rsidRDefault="0052153D" w:rsidP="00122997">
            <w:r>
              <w:t>X</w:t>
            </w:r>
          </w:p>
        </w:tc>
      </w:tr>
      <w:tr w:rsidR="00122997" w14:paraId="0763562F" w14:textId="77777777" w:rsidTr="2452D0D6">
        <w:trPr>
          <w:trHeight w:val="1267"/>
        </w:trPr>
        <w:tc>
          <w:tcPr>
            <w:tcW w:w="1063" w:type="dxa"/>
            <w:vAlign w:val="center"/>
          </w:tcPr>
          <w:p w14:paraId="6D2836F5" w14:textId="77777777" w:rsidR="00122997" w:rsidRPr="00BA1D39" w:rsidRDefault="00122997" w:rsidP="00122997">
            <w:pPr>
              <w:rPr>
                <w:b/>
                <w:bCs/>
              </w:rPr>
            </w:pPr>
            <w:r w:rsidRPr="00BA1D39">
              <w:rPr>
                <w:b/>
                <w:bCs/>
              </w:rPr>
              <w:t>17</w:t>
            </w:r>
          </w:p>
        </w:tc>
        <w:tc>
          <w:tcPr>
            <w:tcW w:w="9169" w:type="dxa"/>
            <w:gridSpan w:val="4"/>
            <w:shd w:val="clear" w:color="auto" w:fill="DEEAF6" w:themeFill="accent5" w:themeFillTint="33"/>
            <w:vAlign w:val="center"/>
          </w:tcPr>
          <w:p w14:paraId="3AD13822" w14:textId="4E9275D6" w:rsidR="00122997" w:rsidRDefault="00122997" w:rsidP="0012299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22997" w:rsidRPr="008017F9" w14:paraId="0F291701" w14:textId="77777777" w:rsidTr="2452D0D6">
        <w:trPr>
          <w:trHeight w:val="1020"/>
        </w:trPr>
        <w:tc>
          <w:tcPr>
            <w:tcW w:w="1063" w:type="dxa"/>
            <w:vAlign w:val="center"/>
          </w:tcPr>
          <w:p w14:paraId="08EDF6C9" w14:textId="77777777" w:rsidR="00122997" w:rsidRDefault="00122997" w:rsidP="00122997"/>
        </w:tc>
        <w:tc>
          <w:tcPr>
            <w:tcW w:w="9169" w:type="dxa"/>
            <w:gridSpan w:val="4"/>
            <w:vAlign w:val="center"/>
          </w:tcPr>
          <w:p w14:paraId="50AF87F6" w14:textId="1BF8154A" w:rsidR="0052153D" w:rsidRPr="0052153D" w:rsidRDefault="0052153D" w:rsidP="0052153D">
            <w:pPr>
              <w:keepNext/>
              <w:jc w:val="both"/>
              <w:rPr>
                <w:color w:val="000000" w:themeColor="text1"/>
                <w:lang w:val="en-ID"/>
              </w:rPr>
            </w:pPr>
            <w:r w:rsidRPr="0052153D">
              <w:rPr>
                <w:color w:val="000000" w:themeColor="text1"/>
                <w:lang w:val="en-ID"/>
              </w:rPr>
              <w:t>The policy tool requires Carbon Exchange Operators to submit an annual work plan and budget to</w:t>
            </w:r>
            <w:r>
              <w:rPr>
                <w:color w:val="000000" w:themeColor="text1"/>
                <w:lang w:val="en-ID"/>
              </w:rPr>
              <w:t xml:space="preserve"> </w:t>
            </w:r>
            <w:r w:rsidRPr="0052153D">
              <w:rPr>
                <w:color w:val="000000" w:themeColor="text1"/>
                <w:lang w:val="en-ID"/>
              </w:rPr>
              <w:t>OJK for approval (Article 30(1)–(3)). It also mandates periodic and event-based reporting to OJK, including monthly transaction summaries, audited annual reports, changes in users or systems, and governance events (Article 31(1)). Key reports must also be submitted to the Ministry of Environment and Forestry (Article 31(2)), ensuring coordination on environmental oversight.</w:t>
            </w:r>
          </w:p>
          <w:p w14:paraId="2C2128DB" w14:textId="09BBA684" w:rsidR="00122997" w:rsidRPr="0052153D" w:rsidRDefault="0052153D" w:rsidP="0052153D">
            <w:pPr>
              <w:keepNext/>
              <w:jc w:val="both"/>
              <w:rPr>
                <w:color w:val="000000" w:themeColor="text1"/>
                <w:lang w:val="en-ID"/>
              </w:rPr>
            </w:pPr>
            <w:r w:rsidRPr="0052153D">
              <w:rPr>
                <w:color w:val="000000" w:themeColor="text1"/>
                <w:lang w:val="en-ID"/>
              </w:rPr>
              <w:t>All reports must be submitted via an electronic reporting system or in physical/digital form if the system is unavailable (Article 32). These mechanisms form the core of the policy’s implementation and enforcement monitoring.</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0C261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0C261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0C261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86EE100" w:rsidR="00D4323A" w:rsidRPr="00CF2E7C" w:rsidRDefault="002E31F3"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50BABCD4" w:rsidR="00D4323A" w:rsidRPr="00CF2E7C" w:rsidRDefault="002E31F3"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26EAE636" w:rsidR="00D4323A" w:rsidRPr="00CF2E7C" w:rsidRDefault="002E31F3"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1C8E6D40" w:rsidR="00D4323A" w:rsidRPr="00CF2E7C" w:rsidRDefault="002E31F3"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1F01FC9B" w:rsidR="00D4323A" w:rsidRPr="00CF2E7C" w:rsidRDefault="002E31F3"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A447D4F" w:rsidR="00D4323A" w:rsidRPr="00CF2E7C" w:rsidRDefault="002E31F3"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2087FF9E" w:rsidR="00D4323A" w:rsidRPr="00CF2E7C" w:rsidRDefault="002E31F3"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C66018E" w:rsidR="00D4323A" w:rsidRPr="00CF2E7C" w:rsidRDefault="002E31F3"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10565E0F" w:rsidR="00D4323A" w:rsidRPr="00CF2E7C" w:rsidRDefault="002E31F3"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C632523" w:rsidR="00D4323A" w:rsidRPr="00CF2E7C" w:rsidRDefault="002E31F3"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629498B0" w:rsidR="00D4323A" w:rsidRPr="00CF2E7C" w:rsidRDefault="002E31F3"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9B28421" w:rsidR="00D4323A" w:rsidRPr="00CF2E7C" w:rsidRDefault="002E31F3"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5083F147" w:rsidR="00092534" w:rsidRPr="00CF2E7C" w:rsidRDefault="002E31F3"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B2F11A1" w:rsidR="00092534" w:rsidRPr="00CF2E7C" w:rsidRDefault="00092534" w:rsidP="00CF2E7C">
            <w:pPr>
              <w:rPr>
                <w:rFonts w:ascii="Calibri" w:hAnsi="Calibri" w:cs="Calibri"/>
              </w:rPr>
            </w:pPr>
          </w:p>
        </w:tc>
        <w:tc>
          <w:tcPr>
            <w:tcW w:w="1674" w:type="dxa"/>
            <w:vAlign w:val="center"/>
          </w:tcPr>
          <w:p w14:paraId="0855EA0B" w14:textId="57C4522F" w:rsidR="00092534" w:rsidRPr="00CF2E7C" w:rsidRDefault="00B10BFD"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237502AF" w:rsidR="00092534" w:rsidRPr="00CF2E7C" w:rsidRDefault="00B10BFD"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4717D888" w:rsidR="00092534" w:rsidRPr="00CF2E7C" w:rsidRDefault="00B10BFD"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8DAC11B" w:rsidR="00092534" w:rsidRPr="00CF2E7C" w:rsidRDefault="00B10BFD"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6DA43401" w:rsidR="00092534" w:rsidRPr="00B10BFD" w:rsidRDefault="00B10BFD" w:rsidP="00B10BFD">
            <w:pPr>
              <w:jc w:val="both"/>
              <w:rPr>
                <w:rFonts w:ascii="Calibri" w:hAnsi="Calibri" w:cs="Calibri"/>
              </w:rPr>
            </w:pPr>
            <w:r w:rsidRPr="00B10BFD">
              <w:rPr>
                <w:rFonts w:ascii="Calibri" w:hAnsi="Calibri" w:cs="Calibri"/>
              </w:rPr>
              <w:t>The policy tool does not impose mandatory participation on specific entity types; rather, it applies only to entities that voluntarily choose to engage in carbon trading activities through the carbon exchange</w:t>
            </w:r>
            <w:r>
              <w:rPr>
                <w:rFonts w:ascii="Calibri" w:hAnsi="Calibri" w:cs="Calibri"/>
              </w:rPr>
              <w:t xml:space="preserve">, </w:t>
            </w:r>
            <w:r w:rsidRPr="00B10BFD">
              <w:rPr>
                <w:rFonts w:ascii="Calibri" w:hAnsi="Calibri" w:cs="Calibri"/>
              </w:rPr>
              <w:t>such as acting as a Carbon Exchange Operator or market participant. This includes financial</w:t>
            </w:r>
            <w:r>
              <w:rPr>
                <w:rFonts w:ascii="Calibri" w:hAnsi="Calibri" w:cs="Calibri"/>
              </w:rPr>
              <w:t xml:space="preserve"> </w:t>
            </w:r>
            <w:r w:rsidRPr="00B10BFD">
              <w:rPr>
                <w:rFonts w:ascii="Calibri" w:hAnsi="Calibri" w:cs="Calibri"/>
              </w:rPr>
              <w:t>institutions, private companies, publicly traded entities, state-owned enterprises, and SMEs, all of which may participate on a voluntary basis. Obligations under the regulation become mandatory only upon participation. For example, a financial institution such as the Indonesia Stock Exchange is subject to the regulation because it has opted to operate the Carbon Exchange, not because the regulation mandates all financial institutions to participate.</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0C261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120692E" w:rsidR="00092534" w:rsidRPr="00CF2E7C" w:rsidRDefault="00CE5B6B"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01BDF7FC"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D366A50" w:rsidR="00DB1E72" w:rsidRPr="00CF2E7C" w:rsidRDefault="00CE5B6B"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2B998676" w:rsidR="00DB1E72" w:rsidRPr="00CF2E7C" w:rsidRDefault="00CE5B6B"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3BC81909" w:rsidR="00DB1E72" w:rsidRPr="00CF2E7C" w:rsidRDefault="00CE5B6B"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3F518794" w14:textId="2C72E5A4" w:rsidR="00CE5B6B" w:rsidRPr="00CE5B6B" w:rsidRDefault="00CE5B6B" w:rsidP="00CE5B6B">
            <w:pPr>
              <w:jc w:val="both"/>
              <w:rPr>
                <w:rFonts w:ascii="Calibri" w:hAnsi="Calibri" w:cs="Calibri"/>
                <w:lang w:val="en-ID"/>
              </w:rPr>
            </w:pPr>
            <w:r w:rsidRPr="00CE5B6B">
              <w:rPr>
                <w:rFonts w:ascii="Calibri" w:hAnsi="Calibri" w:cs="Calibri"/>
                <w:lang w:val="en-ID"/>
              </w:rPr>
              <w:t xml:space="preserve">Under Article 33 of </w:t>
            </w:r>
            <w:r>
              <w:rPr>
                <w:rFonts w:ascii="Calibri" w:hAnsi="Calibri" w:cs="Calibri"/>
                <w:lang w:val="en-ID"/>
              </w:rPr>
              <w:t>the policy tool</w:t>
            </w:r>
            <w:r w:rsidRPr="00CE5B6B">
              <w:rPr>
                <w:rFonts w:ascii="Calibri" w:hAnsi="Calibri" w:cs="Calibri"/>
                <w:lang w:val="en-ID"/>
              </w:rPr>
              <w:t>, the Financial Services Authority (OJK) may impose administrative sanctions on any party that violates specific provisions of the regulation. The sanctions include:</w:t>
            </w:r>
          </w:p>
          <w:p w14:paraId="35CB02A5" w14:textId="77777777" w:rsidR="00CE5B6B" w:rsidRPr="00CE5B6B" w:rsidRDefault="00CE5B6B" w:rsidP="00147CD5">
            <w:pPr>
              <w:numPr>
                <w:ilvl w:val="0"/>
                <w:numId w:val="53"/>
              </w:numPr>
              <w:jc w:val="both"/>
              <w:rPr>
                <w:rFonts w:ascii="Calibri" w:hAnsi="Calibri" w:cs="Calibri"/>
                <w:lang w:val="en-ID"/>
              </w:rPr>
            </w:pPr>
            <w:r w:rsidRPr="00CE5B6B">
              <w:rPr>
                <w:rFonts w:ascii="Calibri" w:hAnsi="Calibri" w:cs="Calibri"/>
                <w:lang w:val="en-ID"/>
              </w:rPr>
              <w:t>Monetary fines (Article 33(4)(b)): an obligation to pay a specified amount of money.</w:t>
            </w:r>
          </w:p>
          <w:p w14:paraId="48315187" w14:textId="77777777" w:rsidR="00CE5B6B" w:rsidRPr="00CE5B6B" w:rsidRDefault="00CE5B6B" w:rsidP="00147CD5">
            <w:pPr>
              <w:numPr>
                <w:ilvl w:val="0"/>
                <w:numId w:val="53"/>
              </w:numPr>
              <w:jc w:val="both"/>
              <w:rPr>
                <w:rFonts w:ascii="Calibri" w:hAnsi="Calibri" w:cs="Calibri"/>
                <w:lang w:val="en-ID"/>
              </w:rPr>
            </w:pPr>
            <w:r w:rsidRPr="00CE5B6B">
              <w:rPr>
                <w:rFonts w:ascii="Calibri" w:hAnsi="Calibri" w:cs="Calibri"/>
                <w:lang w:val="en-ID"/>
              </w:rPr>
              <w:t>Restrictions on business activities (Article 33(4)(c)): limitation of certain operations of the violating party.</w:t>
            </w:r>
          </w:p>
          <w:p w14:paraId="27117CDD" w14:textId="77777777" w:rsidR="00CE5B6B" w:rsidRPr="00CE5B6B" w:rsidRDefault="00CE5B6B" w:rsidP="00147CD5">
            <w:pPr>
              <w:numPr>
                <w:ilvl w:val="0"/>
                <w:numId w:val="53"/>
              </w:numPr>
              <w:jc w:val="both"/>
              <w:rPr>
                <w:rFonts w:ascii="Calibri" w:hAnsi="Calibri" w:cs="Calibri"/>
                <w:lang w:val="en-ID"/>
              </w:rPr>
            </w:pPr>
            <w:r w:rsidRPr="00CE5B6B">
              <w:rPr>
                <w:rFonts w:ascii="Calibri" w:hAnsi="Calibri" w:cs="Calibri"/>
                <w:lang w:val="en-ID"/>
              </w:rPr>
              <w:t>Other sanctions (Article 33(4)(a), (d)-(g)): including written warnings, suspension of business activities, revocation of business licenses, cancellation of approvals, and cancellation of registrations.</w:t>
            </w:r>
          </w:p>
          <w:p w14:paraId="7CC5C002" w14:textId="4973BC86" w:rsidR="00DB1E72" w:rsidRPr="00CE5B6B" w:rsidRDefault="00CE5B6B" w:rsidP="00CE5B6B">
            <w:pPr>
              <w:jc w:val="both"/>
              <w:rPr>
                <w:rFonts w:ascii="Calibri" w:hAnsi="Calibri" w:cs="Calibri"/>
                <w:lang w:val="en-ID"/>
              </w:rPr>
            </w:pPr>
            <w:r w:rsidRPr="00CE5B6B">
              <w:rPr>
                <w:rFonts w:ascii="Calibri" w:hAnsi="Calibri" w:cs="Calibri"/>
                <w:lang w:val="en-ID"/>
              </w:rPr>
              <w:t>These sanctions may be imposed individually or in combination (Article 33(6)) and may be applied with or without prior written warnings (Article 33(5)). The enforcement and procedures follow applicable regulatory frameworks (Article 33(7)).</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0B8A3185" w:rsidR="00092534" w:rsidRPr="00CF2E7C" w:rsidRDefault="00CE5B6B"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7DD5A3A3" w14:textId="1ACF0633" w:rsidR="0048099D" w:rsidRDefault="0048099D" w:rsidP="00CE5B6B">
            <w:pPr>
              <w:pStyle w:val="NormalWeb"/>
              <w:jc w:val="both"/>
              <w:rPr>
                <w:rFonts w:asciiTheme="minorHAnsi" w:hAnsiTheme="minorHAnsi" w:cstheme="minorHAnsi"/>
                <w:color w:val="000000"/>
                <w:lang w:val="en-GB"/>
              </w:rPr>
            </w:pPr>
            <w:r w:rsidRPr="0048099D">
              <w:rPr>
                <w:rFonts w:asciiTheme="minorHAnsi" w:hAnsiTheme="minorHAnsi" w:cstheme="minorHAnsi"/>
                <w:color w:val="000000"/>
                <w:lang w:val="en-GB"/>
              </w:rPr>
              <w:t>Yes, there is clear evidence of implementation. In September 2023, Indonesia officially launched its Carbon Exchange, operated by the Indonesia Stock Exchange (IDX) under the supervision of OJK, based on the framework of </w:t>
            </w:r>
            <w:r>
              <w:rPr>
                <w:rFonts w:asciiTheme="minorHAnsi" w:hAnsiTheme="minorHAnsi" w:cstheme="minorHAnsi"/>
                <w:color w:val="000000"/>
                <w:lang w:val="en-GB"/>
              </w:rPr>
              <w:t>the policy tool</w:t>
            </w:r>
            <w:r w:rsidRPr="0048099D">
              <w:rPr>
                <w:rFonts w:asciiTheme="minorHAnsi" w:hAnsiTheme="minorHAnsi" w:cstheme="minorHAnsi"/>
                <w:color w:val="000000"/>
                <w:lang w:val="en-GB"/>
              </w:rPr>
              <w:t>. This launch demonstrates both institutional uptake and operationalization of the regulation. IDX has begun facilitating the voluntary trading of carbon units that are registered in the SRN-PPI and meet the requirements under the regulation.</w:t>
            </w:r>
          </w:p>
          <w:p w14:paraId="361F9D3A" w14:textId="7CED20D3" w:rsidR="00CE6260" w:rsidRPr="0048099D" w:rsidRDefault="00CE6260" w:rsidP="00CE5B6B">
            <w:pPr>
              <w:pStyle w:val="NormalWeb"/>
              <w:jc w:val="both"/>
              <w:rPr>
                <w:rFonts w:asciiTheme="minorHAnsi" w:hAnsiTheme="minorHAnsi" w:cstheme="minorHAnsi"/>
                <w:color w:val="000000"/>
                <w:lang w:val="en-GB"/>
              </w:rPr>
            </w:pPr>
            <w:r>
              <w:rPr>
                <w:rFonts w:asciiTheme="minorHAnsi" w:hAnsiTheme="minorHAnsi" w:cstheme="minorHAnsi"/>
                <w:color w:val="000000"/>
                <w:lang w:val="en-GB"/>
              </w:rPr>
              <w:t>Reference:</w:t>
            </w:r>
          </w:p>
          <w:p w14:paraId="4E9BC062" w14:textId="0F542F35" w:rsidR="00092534" w:rsidRPr="00CF2E7C" w:rsidRDefault="00941050" w:rsidP="00CE5B6B">
            <w:pPr>
              <w:jc w:val="both"/>
              <w:rPr>
                <w:rFonts w:ascii="Calibri" w:hAnsi="Calibri" w:cs="Calibri"/>
              </w:rPr>
            </w:pPr>
            <w:hyperlink r:id="rId18" w:history="1">
              <w:r w:rsidRPr="00207844">
                <w:rPr>
                  <w:rStyle w:val="Hyperlink"/>
                  <w:rFonts w:cstheme="minorHAnsi"/>
                </w:rPr>
                <w:t>https://web.archive.org/web/20250702083434/https://www.idx.co.id/id/berita/siaran-pers/2016?__cf_chl_rt_tk=yTRAkUrQpuHjkaMLr2PilgAfDPnZFTM9NUCdW2ByGLk-1751444806-1.0.1.1-eosxksdIsem8dwhZGNdVeq5QpYC9.vwftDv4rYJYsSs</w:t>
              </w:r>
            </w:hyperlink>
            <w:r>
              <w:rPr>
                <w:rFonts w:cstheme="minorHAnsi"/>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161EEC28" w:rsidR="00092534" w:rsidRPr="00CF2E7C" w:rsidRDefault="0048099D"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B7D5A43" w14:textId="485F1BB5" w:rsidR="00092534" w:rsidRDefault="0048099D" w:rsidP="00B70B85">
            <w:pPr>
              <w:jc w:val="both"/>
              <w:rPr>
                <w:rFonts w:ascii="Calibri" w:hAnsi="Calibri" w:cs="Calibri"/>
              </w:rPr>
            </w:pPr>
            <w:r w:rsidRPr="00B70B85">
              <w:rPr>
                <w:rFonts w:ascii="Calibri" w:hAnsi="Calibri" w:cs="Calibri"/>
              </w:rPr>
              <w:t>While the Financial Services Authority (OJK) has publicly reported the imposition of administrative sanctions across the capital market, derivatives, and carbon exchange sectors—including monetary fines and license revocations totaling IDR 130.5 billion in 2024</w:t>
            </w:r>
            <w:r w:rsidR="00B70B85">
              <w:rPr>
                <w:rFonts w:ascii="Calibri" w:hAnsi="Calibri" w:cs="Calibri"/>
              </w:rPr>
              <w:t xml:space="preserve"> and IDR 6.5 billion in 2025, </w:t>
            </w:r>
            <w:r w:rsidRPr="00B70B85">
              <w:rPr>
                <w:rFonts w:ascii="Calibri" w:hAnsi="Calibri" w:cs="Calibri"/>
              </w:rPr>
              <w:t>there is no publicly available evidence directly attributing any specific sanction to violations of </w:t>
            </w:r>
            <w:r w:rsidR="00B70B85">
              <w:rPr>
                <w:rFonts w:ascii="Calibri" w:hAnsi="Calibri" w:cs="Calibri"/>
              </w:rPr>
              <w:t>the policy tool</w:t>
            </w:r>
            <w:r w:rsidRPr="00B70B85">
              <w:rPr>
                <w:rFonts w:ascii="Calibri" w:hAnsi="Calibri" w:cs="Calibri"/>
              </w:rPr>
              <w:t xml:space="preserve"> on Carbon Exchange. Thus, enforcement related specifically to this regulation cannot yet be confirmed.</w:t>
            </w:r>
          </w:p>
          <w:p w14:paraId="6D47D39C" w14:textId="1DDCBABB" w:rsidR="00CE6260" w:rsidRDefault="00CE6260" w:rsidP="00B70B85">
            <w:pPr>
              <w:jc w:val="both"/>
              <w:rPr>
                <w:rFonts w:ascii="Calibri" w:hAnsi="Calibri" w:cs="Calibri"/>
              </w:rPr>
            </w:pPr>
            <w:r>
              <w:rPr>
                <w:rFonts w:ascii="Calibri" w:hAnsi="Calibri" w:cs="Calibri"/>
              </w:rPr>
              <w:t>Reference:</w:t>
            </w:r>
          </w:p>
          <w:p w14:paraId="365DBC07" w14:textId="77777777" w:rsidR="00CE6260" w:rsidRDefault="00CE6260" w:rsidP="00B70B85">
            <w:pPr>
              <w:jc w:val="both"/>
            </w:pPr>
            <w:hyperlink r:id="rId19" w:history="1">
              <w:r w:rsidRPr="00207844">
                <w:rPr>
                  <w:rStyle w:val="Hyperlink"/>
                </w:rPr>
                <w:t>https://web.archive.org/web/20250702082827/https://www.tempo.co/ekonomi/ojk-kumpulkan-rp130-5-miliar-denda-dari-sanksi-bidang-pasar-modal-sepanjang-2024-1187873</w:t>
              </w:r>
            </w:hyperlink>
            <w:r>
              <w:t xml:space="preserve"> </w:t>
            </w:r>
          </w:p>
          <w:p w14:paraId="130CC207" w14:textId="29860AB8" w:rsidR="00B70B85" w:rsidRPr="00B70B85" w:rsidRDefault="00941050" w:rsidP="00B70B85">
            <w:pPr>
              <w:jc w:val="both"/>
              <w:rPr>
                <w:rFonts w:ascii="Calibri" w:hAnsi="Calibri" w:cs="Calibri"/>
              </w:rPr>
            </w:pPr>
            <w:hyperlink r:id="rId20" w:history="1">
              <w:r w:rsidRPr="00207844">
                <w:rPr>
                  <w:rStyle w:val="Hyperlink"/>
                </w:rPr>
                <w:t>https://web.archive.org/web/20250702083530/https://finance.detik.com/bursa-dan-valas/d-7944674/ojk-denda-pelaku-di-pasar-modal-bursa-karbon-hingga-rp-6-8-miliar</w:t>
              </w:r>
            </w:hyperlink>
            <w:r>
              <w:t xml:space="preserve"> </w:t>
            </w:r>
            <w:r w:rsidR="00B70B85">
              <w:rPr>
                <w:rFonts w:ascii="Calibri" w:hAnsi="Calibri" w:cs="Calibri"/>
              </w:rPr>
              <w:t xml:space="preserve"> </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1F772067" w:rsidR="00092534" w:rsidRPr="00CF2E7C" w:rsidRDefault="00B70B85"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15CB1EA7" w:rsidR="00D46B07" w:rsidRPr="00CF2E7C" w:rsidRDefault="00B70B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6053F93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70B85">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108BD7B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70B85">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5FDF7E8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70B85">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1C066607" w:rsidR="00D46B07" w:rsidRPr="00CF2E7C" w:rsidRDefault="00B70B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94F62D3" w:rsidR="000334B6" w:rsidRPr="00861707" w:rsidRDefault="00861707" w:rsidP="00861707">
            <w:pPr>
              <w:jc w:val="both"/>
              <w:textAlignment w:val="baseline"/>
              <w:rPr>
                <w:rFonts w:ascii="Calibri" w:eastAsia="Times New Roman" w:hAnsi="Calibri" w:cs="Calibri"/>
                <w:lang w:val="en-ID" w:eastAsia="en-GB"/>
              </w:rPr>
            </w:pPr>
            <w:r w:rsidRPr="00861707">
              <w:rPr>
                <w:rFonts w:ascii="Calibri" w:eastAsia="Times New Roman" w:hAnsi="Calibri" w:cs="Calibri"/>
                <w:lang w:val="en-ID" w:eastAsia="en-GB"/>
              </w:rPr>
              <w:t>Although Sistem Registri Nasional Pengendalian Perubahan Iklim (SRN-PPI</w:t>
            </w:r>
            <w:r>
              <w:rPr>
                <w:rFonts w:ascii="Calibri" w:eastAsia="Times New Roman" w:hAnsi="Calibri" w:cs="Calibri"/>
                <w:lang w:val="en-ID" w:eastAsia="en-GB"/>
              </w:rPr>
              <w:t>)</w:t>
            </w:r>
            <w:r w:rsidRPr="00861707">
              <w:rPr>
                <w:rFonts w:ascii="Calibri" w:eastAsia="Times New Roman" w:hAnsi="Calibri" w:cs="Calibri"/>
                <w:lang w:val="en-ID" w:eastAsia="en-GB"/>
              </w:rPr>
              <w:t xml:space="preserve"> is used as a supporting instrument under </w:t>
            </w:r>
            <w:r>
              <w:rPr>
                <w:rFonts w:ascii="Calibri" w:eastAsia="Times New Roman" w:hAnsi="Calibri" w:cs="Calibri"/>
                <w:lang w:val="en-ID" w:eastAsia="en-GB"/>
              </w:rPr>
              <w:t>the policy tool</w:t>
            </w:r>
            <w:r w:rsidRPr="00861707">
              <w:rPr>
                <w:rFonts w:ascii="Calibri" w:eastAsia="Times New Roman" w:hAnsi="Calibri" w:cs="Calibri"/>
                <w:lang w:val="en-ID" w:eastAsia="en-GB"/>
              </w:rPr>
              <w:t xml:space="preserve">, the regulation itself does not govern SRN-PPI directly, nor does it regulate the methodologies or governance framework of SRN-PPI. The SRN-PPI has been developed and operated in cooperation with international partners such as the </w:t>
            </w:r>
            <w:r w:rsidRPr="00861707">
              <w:rPr>
                <w:rFonts w:ascii="Calibri" w:eastAsia="Times New Roman" w:hAnsi="Calibri" w:cs="Calibri"/>
                <w:lang w:val="en-ID" w:eastAsia="en-GB"/>
              </w:rPr>
              <w:lastRenderedPageBreak/>
              <w:t>Government of Norway and UNDP</w:t>
            </w:r>
            <w:r>
              <w:rPr>
                <w:rFonts w:ascii="Calibri" w:eastAsia="Times New Roman" w:hAnsi="Calibri" w:cs="Calibri"/>
                <w:lang w:val="en-ID" w:eastAsia="en-GB"/>
              </w:rPr>
              <w:t xml:space="preserve"> </w:t>
            </w:r>
            <w:r w:rsidRPr="00861707">
              <w:rPr>
                <w:rFonts w:ascii="Calibri" w:eastAsia="Times New Roman" w:hAnsi="Calibri" w:cs="Calibri"/>
                <w:lang w:val="en-ID" w:eastAsia="en-GB"/>
              </w:rPr>
              <w:t>under the framework of REDD+ and broader climate finance support mechanisms. However, those international partnerships and REDD+ efforts are outside the scope of this specific regulation, which focuses primarily on the governance of carbon credit trading as a financial instrument within Indonesia’s capital market system.</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69"/>
        <w:gridCol w:w="3944"/>
        <w:gridCol w:w="298"/>
        <w:gridCol w:w="1229"/>
        <w:gridCol w:w="288"/>
        <w:gridCol w:w="2218"/>
        <w:gridCol w:w="18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326C282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B8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000A8C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B85">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2FC2915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B85">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564EE3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B85">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2B76559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0B85">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A4D3C2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70B8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E56BE1" w14:textId="38D98F69" w:rsidR="00861707" w:rsidRPr="00861707" w:rsidRDefault="00861707" w:rsidP="00861707">
            <w:pPr>
              <w:jc w:val="both"/>
              <w:textAlignment w:val="baseline"/>
              <w:rPr>
                <w:rFonts w:ascii="Calibri" w:eastAsia="Times New Roman" w:hAnsi="Calibri" w:cs="Calibri"/>
                <w:lang w:val="en-ID" w:eastAsia="en-GB"/>
              </w:rPr>
            </w:pPr>
            <w:r>
              <w:rPr>
                <w:rFonts w:ascii="Calibri" w:eastAsia="Times New Roman" w:hAnsi="Calibri" w:cs="Calibri"/>
                <w:lang w:val="en-ID" w:eastAsia="en-GB"/>
              </w:rPr>
              <w:t xml:space="preserve">The policy tool </w:t>
            </w:r>
            <w:r w:rsidRPr="00861707">
              <w:rPr>
                <w:rFonts w:ascii="Calibri" w:eastAsia="Times New Roman" w:hAnsi="Calibri" w:cs="Calibri"/>
                <w:lang w:val="en-ID" w:eastAsia="en-GB"/>
              </w:rPr>
              <w:t>requires that carbon units (Unit Karbon) traded on the Carbon Exchange be registered with the Sistem Registri Nasional Pengendalian Perubahan Iklim (SRN-PPI), as set forth in Article 3 paragraph (2). The SRN-PPI is the official national registry managed by the Ministry of Environment and Forestry (KLHK), serving as a web-based platform for tracking data and actions related to climate change mitigation, adaptation, and carbon valuation in Indonesia.</w:t>
            </w:r>
          </w:p>
          <w:p w14:paraId="0D8A6C44" w14:textId="77777777" w:rsidR="00861707" w:rsidRDefault="00861707" w:rsidP="00861707">
            <w:pPr>
              <w:jc w:val="both"/>
              <w:textAlignment w:val="baseline"/>
              <w:rPr>
                <w:rFonts w:ascii="Calibri" w:eastAsia="Times New Roman" w:hAnsi="Calibri" w:cs="Calibri"/>
                <w:lang w:val="en-ID" w:eastAsia="en-GB"/>
              </w:rPr>
            </w:pPr>
            <w:r w:rsidRPr="00861707">
              <w:rPr>
                <w:rFonts w:ascii="Calibri" w:eastAsia="Times New Roman" w:hAnsi="Calibri" w:cs="Calibri"/>
                <w:lang w:val="en-ID" w:eastAsia="en-GB"/>
              </w:rPr>
              <w:t>In the case of foreign carbon units, the regulation allows for their trading even if they are not registered in SRN-PPI, provided that they are validated and verified by institutions accredited by recognized international carbon credit registries. Further requirements for such foreign units are set by OJK in coordination with the Ministry of Environment and Forestry (Article 3 paragraph (4)–(5)).</w:t>
            </w:r>
          </w:p>
          <w:p w14:paraId="75985823" w14:textId="77777777" w:rsidR="00D4061D" w:rsidRDefault="00D4061D" w:rsidP="00D4061D">
            <w:pPr>
              <w:jc w:val="both"/>
              <w:textAlignment w:val="baseline"/>
              <w:rPr>
                <w:rFonts w:ascii="Calibri" w:eastAsia="Times New Roman" w:hAnsi="Calibri" w:cs="Calibri"/>
                <w:lang w:val="en-ID" w:eastAsia="en-GB"/>
              </w:rPr>
            </w:pPr>
            <w:r>
              <w:rPr>
                <w:rFonts w:ascii="Calibri" w:eastAsia="Times New Roman" w:hAnsi="Calibri" w:cs="Calibri"/>
                <w:lang w:val="en-ID" w:eastAsia="en-GB"/>
              </w:rPr>
              <w:t>Reference:</w:t>
            </w:r>
          </w:p>
          <w:p w14:paraId="38C2165D" w14:textId="4CEE8605" w:rsidR="00702413" w:rsidRPr="00D4061D" w:rsidRDefault="00D4061D" w:rsidP="00D4061D">
            <w:pPr>
              <w:jc w:val="both"/>
              <w:textAlignment w:val="baseline"/>
              <w:rPr>
                <w:rFonts w:ascii="Calibri" w:eastAsia="Times New Roman" w:hAnsi="Calibri" w:cs="Calibri"/>
                <w:lang w:val="en-ID" w:eastAsia="en-GB"/>
              </w:rPr>
            </w:pPr>
            <w:hyperlink r:id="rId21" w:history="1">
              <w:r w:rsidRPr="00207844">
                <w:rPr>
                  <w:rStyle w:val="Hyperlink"/>
                  <w:rFonts w:ascii="Calibri" w:eastAsia="Times New Roman" w:hAnsi="Calibri" w:cs="Calibri"/>
                  <w:kern w:val="0"/>
                  <w:lang w:eastAsia="en-GB"/>
                  <w14:ligatures w14:val="none"/>
                </w:rPr>
                <w:t>https://web.archive.org/web/20250702083855/https:/srn.menlhk.go.id/index.php?r=home%2Findex</w:t>
              </w:r>
            </w:hyperlink>
            <w:r>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3C84D19E" w:rsidR="00343937" w:rsidRPr="00CF2E7C" w:rsidRDefault="00B70B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58F380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6170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241793A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2A8">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3787821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2A8">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95CAAD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2A8">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322FCD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72A8">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7C1510" w14:textId="049DD1CE" w:rsidR="00BB72A8" w:rsidRPr="00BB72A8" w:rsidRDefault="00BB72A8" w:rsidP="000A14F1">
            <w:pPr>
              <w:jc w:val="both"/>
              <w:textAlignment w:val="baseline"/>
              <w:rPr>
                <w:rFonts w:ascii="Calibri" w:hAnsi="Calibri" w:cs="Calibri"/>
                <w:lang w:eastAsia="en-GB"/>
              </w:rPr>
            </w:pPr>
            <w:r w:rsidRPr="000A14F1">
              <w:rPr>
                <w:rFonts w:ascii="Calibri" w:eastAsia="Times New Roman" w:hAnsi="Calibri" w:cs="Calibri"/>
                <w:kern w:val="0"/>
                <w:lang w:val="en-ID" w:eastAsia="en-GB"/>
                <w14:ligatures w14:val="none"/>
              </w:rPr>
              <w:t xml:space="preserve">The policy tool </w:t>
            </w:r>
            <w:r w:rsidRPr="00BB72A8">
              <w:rPr>
                <w:rFonts w:ascii="Calibri" w:eastAsia="Times New Roman" w:hAnsi="Calibri" w:cs="Calibri"/>
                <w:kern w:val="0"/>
                <w:lang w:val="en-ID" w:eastAsia="en-GB"/>
                <w14:ligatures w14:val="none"/>
              </w:rPr>
              <w:t>does not explicitly include provisions addressing the avoidance of double counting of carbon credits</w:t>
            </w:r>
            <w:r w:rsidRPr="000A14F1">
              <w:rPr>
                <w:rFonts w:ascii="Calibri" w:eastAsia="Times New Roman" w:hAnsi="Calibri" w:cs="Calibri"/>
                <w:kern w:val="0"/>
                <w:lang w:val="en-ID" w:eastAsia="en-GB"/>
                <w14:ligatures w14:val="none"/>
              </w:rPr>
              <w:t xml:space="preserve">, </w:t>
            </w:r>
            <w:r w:rsidRPr="00BB72A8">
              <w:rPr>
                <w:rFonts w:ascii="Calibri" w:eastAsia="Times New Roman" w:hAnsi="Calibri" w:cs="Calibri"/>
                <w:kern w:val="0"/>
                <w:lang w:val="en-ID" w:eastAsia="en-GB"/>
                <w14:ligatures w14:val="none"/>
              </w:rPr>
              <w:t>such as double issuance, double use, double claiming, or corresponding adjustments</w:t>
            </w:r>
            <w:r w:rsidRPr="000A14F1">
              <w:rPr>
                <w:rFonts w:ascii="Calibri" w:eastAsia="Times New Roman" w:hAnsi="Calibri" w:cs="Calibri"/>
                <w:kern w:val="0"/>
                <w:lang w:val="en-ID" w:eastAsia="en-GB"/>
                <w14:ligatures w14:val="none"/>
              </w:rPr>
              <w:t xml:space="preserve"> </w:t>
            </w:r>
            <w:r w:rsidRPr="00BB72A8">
              <w:rPr>
                <w:rFonts w:ascii="Calibri" w:eastAsia="Times New Roman" w:hAnsi="Calibri" w:cs="Calibri"/>
                <w:kern w:val="0"/>
                <w:lang w:val="en-ID" w:eastAsia="en-GB"/>
                <w14:ligatures w14:val="none"/>
              </w:rPr>
              <w:t>within its regulatory framework. However, it mandates that all carbon units (Unit Karbon) traded through the carbon exchange must be registered in the Sistem Registri Nasional Pengendalian Perubahan Iklim (SRN-PPI), as stipulated in Article 3 paragraph (2).</w:t>
            </w:r>
            <w:r w:rsidR="000A14F1" w:rsidRPr="000A14F1">
              <w:rPr>
                <w:rFonts w:ascii="Calibri" w:eastAsia="Times New Roman" w:hAnsi="Calibri" w:cs="Calibri"/>
                <w:kern w:val="0"/>
                <w:lang w:val="en-ID" w:eastAsia="en-GB"/>
                <w14:ligatures w14:val="none"/>
              </w:rPr>
              <w:t xml:space="preserve"> </w:t>
            </w:r>
            <w:r w:rsidR="000A14F1" w:rsidRPr="00BB72A8">
              <w:rPr>
                <w:rFonts w:ascii="Calibri" w:eastAsia="Times New Roman" w:hAnsi="Calibri" w:cs="Calibri"/>
                <w:kern w:val="0"/>
                <w:lang w:val="en-ID" w:eastAsia="en-GB"/>
                <w14:ligatures w14:val="none"/>
              </w:rPr>
              <w:t>Article 3 paragraph (</w:t>
            </w:r>
            <w:r w:rsidR="000A14F1">
              <w:rPr>
                <w:rFonts w:ascii="Calibri" w:eastAsia="Times New Roman" w:hAnsi="Calibri" w:cs="Calibri"/>
                <w:kern w:val="0"/>
                <w:lang w:val="en-ID" w:eastAsia="en-GB"/>
                <w14:ligatures w14:val="none"/>
              </w:rPr>
              <w:t>4</w:t>
            </w:r>
            <w:r w:rsidR="000A14F1" w:rsidRPr="00BB72A8">
              <w:rPr>
                <w:rFonts w:ascii="Calibri" w:eastAsia="Times New Roman" w:hAnsi="Calibri" w:cs="Calibri"/>
                <w:kern w:val="0"/>
                <w:lang w:val="en-ID" w:eastAsia="en-GB"/>
                <w14:ligatures w14:val="none"/>
              </w:rPr>
              <w:t>)</w:t>
            </w:r>
            <w:r w:rsidR="000A14F1">
              <w:rPr>
                <w:rFonts w:ascii="Calibri" w:eastAsia="Times New Roman" w:hAnsi="Calibri" w:cs="Calibri"/>
                <w:kern w:val="0"/>
                <w:lang w:val="en-ID" w:eastAsia="en-GB"/>
                <w14:ligatures w14:val="none"/>
              </w:rPr>
              <w:t xml:space="preserve"> stipulate that f</w:t>
            </w:r>
            <w:r w:rsidR="000A14F1" w:rsidRPr="000A14F1">
              <w:rPr>
                <w:rFonts w:ascii="Calibri" w:eastAsia="Times New Roman" w:hAnsi="Calibri" w:cs="Calibri"/>
                <w:kern w:val="0"/>
                <w:lang w:val="en-ID" w:eastAsia="en-GB"/>
                <w14:ligatures w14:val="none"/>
              </w:rPr>
              <w:t>or f</w:t>
            </w:r>
            <w:r w:rsidR="000A14F1" w:rsidRPr="000A14F1">
              <w:rPr>
                <w:rFonts w:ascii="Calibri" w:eastAsia="Times New Roman" w:hAnsi="Calibri" w:cs="Calibri"/>
                <w:lang w:eastAsia="en-GB"/>
              </w:rPr>
              <w:t>oreign carbon credits</w:t>
            </w:r>
            <w:r w:rsidR="000A14F1">
              <w:rPr>
                <w:rFonts w:ascii="Calibri" w:eastAsia="Times New Roman" w:hAnsi="Calibri" w:cs="Calibri"/>
                <w:lang w:eastAsia="en-GB"/>
              </w:rPr>
              <w:t xml:space="preserve">, </w:t>
            </w:r>
            <w:r w:rsidR="000A14F1" w:rsidRPr="000A14F1">
              <w:rPr>
                <w:rFonts w:ascii="Calibri" w:eastAsia="Times New Roman" w:hAnsi="Calibri" w:cs="Calibri"/>
                <w:lang w:eastAsia="en-GB"/>
              </w:rPr>
              <w:t>may be traded without SRN-PPI registration</w:t>
            </w:r>
            <w:r w:rsidR="000A14F1" w:rsidRPr="000A14F1">
              <w:rPr>
                <w:rFonts w:ascii="Calibri" w:hAnsi="Calibri" w:cs="Calibri"/>
                <w:lang w:eastAsia="en-GB"/>
              </w:rPr>
              <w:t>, as long as</w:t>
            </w:r>
            <w:r w:rsidR="000A14F1">
              <w:rPr>
                <w:rFonts w:ascii="Calibri" w:hAnsi="Calibri" w:cs="Calibri"/>
                <w:lang w:eastAsia="en-GB"/>
              </w:rPr>
              <w:t xml:space="preserve"> </w:t>
            </w:r>
            <w:r w:rsidR="000A14F1" w:rsidRPr="000A14F1">
              <w:rPr>
                <w:rFonts w:ascii="Calibri" w:eastAsia="Times New Roman" w:hAnsi="Calibri" w:cs="Calibri"/>
                <w:kern w:val="0"/>
                <w:lang w:val="en-ID" w:eastAsia="en-GB"/>
                <w14:ligatures w14:val="none"/>
              </w:rPr>
              <w:t>validated/verified by an internationally accredited registry</w:t>
            </w:r>
            <w:r w:rsidR="000A14F1">
              <w:rPr>
                <w:rFonts w:ascii="Calibri" w:eastAsia="Times New Roman" w:hAnsi="Calibri" w:cs="Calibri"/>
                <w:kern w:val="0"/>
                <w:lang w:val="en-ID" w:eastAsia="en-GB"/>
                <w14:ligatures w14:val="none"/>
              </w:rPr>
              <w:t xml:space="preserve">, and </w:t>
            </w:r>
            <w:r w:rsidR="000A14F1" w:rsidRPr="000A14F1">
              <w:rPr>
                <w:rFonts w:ascii="Calibri" w:eastAsia="Times New Roman" w:hAnsi="Calibri" w:cs="Calibri"/>
                <w:kern w:val="0"/>
                <w:lang w:val="en-ID" w:eastAsia="en-GB"/>
                <w14:ligatures w14:val="none"/>
              </w:rPr>
              <w:t>meet OJK’s additional requirements</w:t>
            </w:r>
            <w:r w:rsidR="000A14F1">
              <w:rPr>
                <w:rFonts w:ascii="Calibri" w:eastAsia="Times New Roman" w:hAnsi="Calibri" w:cs="Calibri"/>
                <w:kern w:val="0"/>
                <w:lang w:val="en-ID" w:eastAsia="en-GB"/>
                <w14:ligatures w14:val="none"/>
              </w:rPr>
              <w:t>.</w:t>
            </w:r>
          </w:p>
          <w:p w14:paraId="4878BF58" w14:textId="2CC4AE4C" w:rsidR="00343937" w:rsidRPr="00BB72A8" w:rsidRDefault="00BB72A8" w:rsidP="000A14F1">
            <w:pPr>
              <w:jc w:val="both"/>
              <w:textAlignment w:val="baseline"/>
              <w:rPr>
                <w:rFonts w:ascii="Calibri" w:eastAsia="Times New Roman" w:hAnsi="Calibri" w:cs="Calibri"/>
                <w:kern w:val="0"/>
                <w:lang w:val="en-ID" w:eastAsia="en-GB"/>
                <w14:ligatures w14:val="none"/>
              </w:rPr>
            </w:pPr>
            <w:r w:rsidRPr="00BB72A8">
              <w:rPr>
                <w:rFonts w:ascii="Calibri" w:eastAsia="Times New Roman" w:hAnsi="Calibri" w:cs="Calibri"/>
                <w:kern w:val="0"/>
                <w:lang w:val="en-ID" w:eastAsia="en-GB"/>
                <w14:ligatures w14:val="none"/>
              </w:rPr>
              <w:t xml:space="preserve">While this requirement contributes to ensuring transparency and traceability, the </w:t>
            </w:r>
            <w:r>
              <w:rPr>
                <w:rFonts w:ascii="Calibri" w:eastAsia="Times New Roman" w:hAnsi="Calibri" w:cs="Calibri"/>
                <w:kern w:val="0"/>
                <w:lang w:val="en-ID" w:eastAsia="en-GB"/>
                <w14:ligatures w14:val="none"/>
              </w:rPr>
              <w:t>policy tool</w:t>
            </w:r>
            <w:r w:rsidRPr="00BB72A8">
              <w:rPr>
                <w:rFonts w:ascii="Calibri" w:eastAsia="Times New Roman" w:hAnsi="Calibri" w:cs="Calibri"/>
                <w:kern w:val="0"/>
                <w:lang w:val="en-ID" w:eastAsia="en-GB"/>
                <w14:ligatures w14:val="none"/>
              </w:rPr>
              <w:t xml:space="preserve"> does not define how SRN-PPI technically prevents double counting</w:t>
            </w:r>
            <w:r>
              <w:rPr>
                <w:rFonts w:ascii="Calibri" w:eastAsia="Times New Roman" w:hAnsi="Calibri" w:cs="Calibri"/>
                <w:kern w:val="0"/>
                <w:lang w:val="en-ID" w:eastAsia="en-GB"/>
                <w14:ligatures w14:val="none"/>
              </w:rPr>
              <w:t>,</w:t>
            </w:r>
            <w:r w:rsidRPr="00BB72A8">
              <w:rPr>
                <w:rFonts w:ascii="Calibri" w:eastAsia="Times New Roman" w:hAnsi="Calibri" w:cs="Calibri"/>
                <w:kern w:val="0"/>
                <w:lang w:val="en-ID" w:eastAsia="en-GB"/>
                <w14:ligatures w14:val="none"/>
              </w:rPr>
              <w:t xml:space="preserve"> </w:t>
            </w:r>
            <w:r>
              <w:rPr>
                <w:rFonts w:ascii="Calibri" w:eastAsia="Times New Roman" w:hAnsi="Calibri" w:cs="Calibri"/>
                <w:kern w:val="0"/>
                <w:lang w:val="en-ID" w:eastAsia="en-GB"/>
                <w14:ligatures w14:val="none"/>
              </w:rPr>
              <w:t>as</w:t>
            </w:r>
            <w:r w:rsidRPr="00BB72A8">
              <w:rPr>
                <w:rFonts w:ascii="Calibri" w:eastAsia="Times New Roman" w:hAnsi="Calibri" w:cs="Calibri"/>
                <w:kern w:val="0"/>
                <w:lang w:val="en-ID" w:eastAsia="en-GB"/>
                <w14:ligatures w14:val="none"/>
              </w:rPr>
              <w:t xml:space="preserve"> SRN-PPI</w:t>
            </w:r>
            <w:r>
              <w:rPr>
                <w:rFonts w:ascii="Calibri" w:eastAsia="Times New Roman" w:hAnsi="Calibri" w:cs="Calibri"/>
                <w:kern w:val="0"/>
                <w:lang w:val="en-ID" w:eastAsia="en-GB"/>
                <w14:ligatures w14:val="none"/>
              </w:rPr>
              <w:t xml:space="preserve"> is </w:t>
            </w:r>
            <w:r w:rsidRPr="00BB72A8">
              <w:rPr>
                <w:rFonts w:ascii="Calibri" w:eastAsia="Times New Roman" w:hAnsi="Calibri" w:cs="Calibri"/>
                <w:kern w:val="0"/>
                <w:lang w:val="en-ID" w:eastAsia="en-GB"/>
                <w14:ligatures w14:val="none"/>
              </w:rPr>
              <w:t xml:space="preserve">not under </w:t>
            </w:r>
            <w:r>
              <w:rPr>
                <w:rFonts w:ascii="Calibri" w:eastAsia="Times New Roman" w:hAnsi="Calibri" w:cs="Calibri"/>
                <w:kern w:val="0"/>
                <w:lang w:val="en-ID" w:eastAsia="en-GB"/>
                <w14:ligatures w14:val="none"/>
              </w:rPr>
              <w:t>this policy tool scope</w:t>
            </w:r>
            <w:r w:rsidRPr="00BB72A8">
              <w:rPr>
                <w:rFonts w:ascii="Calibri" w:eastAsia="Times New Roman" w:hAnsi="Calibri" w:cs="Calibri"/>
                <w:kern w:val="0"/>
                <w:lang w:val="en-ID"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2C64706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14F1">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24388A7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14F1">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2823C9E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14F1">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5F6FE8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14F1">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633BC0B3" w:rsidR="00343937" w:rsidRPr="000A14F1" w:rsidRDefault="000A14F1" w:rsidP="000A14F1">
            <w:pPr>
              <w:jc w:val="both"/>
              <w:textAlignment w:val="baseline"/>
              <w:rPr>
                <w:rFonts w:ascii="Calibri" w:eastAsia="Times New Roman" w:hAnsi="Calibri" w:cs="Calibri"/>
                <w:kern w:val="0"/>
                <w:lang w:val="en-ID" w:eastAsia="en-GB"/>
                <w14:ligatures w14:val="none"/>
              </w:rPr>
            </w:pPr>
            <w:r>
              <w:rPr>
                <w:rFonts w:ascii="Calibri" w:eastAsia="Times New Roman" w:hAnsi="Calibri" w:cs="Calibri"/>
                <w:kern w:val="0"/>
                <w:lang w:val="en-ID" w:eastAsia="en-GB"/>
                <w14:ligatures w14:val="none"/>
              </w:rPr>
              <w:t>The policy tool</w:t>
            </w:r>
            <w:r w:rsidRPr="000A14F1">
              <w:rPr>
                <w:rFonts w:ascii="Calibri" w:eastAsia="Times New Roman" w:hAnsi="Calibri" w:cs="Calibri"/>
                <w:kern w:val="0"/>
                <w:lang w:val="en-ID" w:eastAsia="en-GB"/>
                <w14:ligatures w14:val="none"/>
              </w:rPr>
              <w:t xml:space="preserve"> does not specify how the financial revenues generated from the trading of carbon credits must or should be used. The only relevant provision is found in Article 12, this clause merely delegates the authority to regulate the use of state revenue from carbon trading to the Indonesian government, without detailing the allocation or mechanisms in the POJK itself.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193AFEB7" w:rsidR="000A6F11" w:rsidRPr="00CF2E7C" w:rsidRDefault="000A14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w:t>
            </w:r>
            <w:r w:rsidRPr="00CF2E7C">
              <w:rPr>
                <w:rFonts w:ascii="Calibri" w:eastAsia="Times New Roman" w:hAnsi="Calibri" w:cs="Calibri"/>
                <w:kern w:val="0"/>
                <w:lang w:eastAsia="en-GB"/>
                <w14:ligatures w14:val="none"/>
              </w:rPr>
              <w:lastRenderedPageBreak/>
              <w:t xml:space="preserve">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4281E87D" w:rsidR="00392F82" w:rsidRPr="009C4D10" w:rsidRDefault="00147CD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0CC0CFEA" w:rsidR="00392F82" w:rsidRPr="009C4D10" w:rsidRDefault="00147CD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5BF508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147CD5">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1E01E8" w14:textId="4E1B2FAF" w:rsidR="00147CD5" w:rsidRPr="00147CD5" w:rsidRDefault="00147CD5" w:rsidP="00147CD5">
            <w:pPr>
              <w:jc w:val="both"/>
              <w:textAlignment w:val="baseline"/>
              <w:rPr>
                <w:rFonts w:eastAsia="Times New Roman" w:cstheme="minorHAnsi"/>
                <w:kern w:val="0"/>
                <w:lang w:val="en-ID" w:eastAsia="en-GB"/>
                <w14:ligatures w14:val="none"/>
              </w:rPr>
            </w:pPr>
            <w:r>
              <w:rPr>
                <w:rFonts w:eastAsia="Times New Roman" w:cstheme="minorHAnsi"/>
                <w:kern w:val="0"/>
                <w:lang w:val="en-ID" w:eastAsia="en-GB"/>
                <w14:ligatures w14:val="none"/>
              </w:rPr>
              <w:t>The policy tool</w:t>
            </w:r>
            <w:r w:rsidRPr="00147CD5">
              <w:rPr>
                <w:rFonts w:eastAsia="Times New Roman" w:cstheme="minorHAnsi"/>
                <w:kern w:val="0"/>
                <w:lang w:val="en-ID" w:eastAsia="en-GB"/>
                <w14:ligatures w14:val="none"/>
              </w:rPr>
              <w:t> provides</w:t>
            </w:r>
            <w:r>
              <w:rPr>
                <w:rFonts w:eastAsia="Times New Roman" w:cstheme="minorHAnsi"/>
                <w:kern w:val="0"/>
                <w:lang w:val="en-ID" w:eastAsia="en-GB"/>
                <w14:ligatures w14:val="none"/>
              </w:rPr>
              <w:t xml:space="preserve"> </w:t>
            </w:r>
            <w:r w:rsidRPr="00147CD5">
              <w:rPr>
                <w:rFonts w:eastAsia="Times New Roman" w:cstheme="minorHAnsi"/>
                <w:kern w:val="0"/>
                <w:lang w:val="en-ID" w:eastAsia="en-GB"/>
                <w14:ligatures w14:val="none"/>
              </w:rPr>
              <w:t>a comprehensive regulatory framework for the trading and intermediation of carbon credits through a carbon exchange, treating carbon units as financial instruments. Key references include:</w:t>
            </w:r>
          </w:p>
          <w:p w14:paraId="0A3BF3B5" w14:textId="77777777" w:rsidR="00147CD5" w:rsidRPr="00147CD5" w:rsidRDefault="00147CD5" w:rsidP="00147CD5">
            <w:pPr>
              <w:numPr>
                <w:ilvl w:val="0"/>
                <w:numId w:val="52"/>
              </w:num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2: Assigns the Financial Services Authority (OJK) the responsibility to regulate, license, supervise, and develop carbon trading through the Bursa Karbon (carbon exchange).</w:t>
            </w:r>
          </w:p>
          <w:p w14:paraId="390112BD" w14:textId="77777777" w:rsidR="00147CD5" w:rsidRPr="00147CD5" w:rsidRDefault="00147CD5" w:rsidP="00147CD5">
            <w:pPr>
              <w:numPr>
                <w:ilvl w:val="0"/>
                <w:numId w:val="52"/>
              </w:num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3(1): Clearly classifies Unit Karbon as an “Efek” (security/financial instrument) under Indonesian capital market law, placing it under OJK’s authority.</w:t>
            </w:r>
          </w:p>
          <w:p w14:paraId="7938A809" w14:textId="77777777" w:rsidR="00147CD5" w:rsidRPr="00147CD5" w:rsidRDefault="00147CD5" w:rsidP="00147CD5">
            <w:pPr>
              <w:numPr>
                <w:ilvl w:val="0"/>
                <w:numId w:val="52"/>
              </w:num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5: Specifies the types of carbon credits that can be traded:</w:t>
            </w:r>
          </w:p>
          <w:p w14:paraId="0D935723" w14:textId="77777777" w:rsidR="00147CD5" w:rsidRPr="00147CD5" w:rsidRDefault="00147CD5" w:rsidP="00147CD5">
            <w:pPr>
              <w:numPr>
                <w:ilvl w:val="1"/>
                <w:numId w:val="52"/>
              </w:num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PTBAE-PU: Persetujuan Teknis Batas Atas Emisi Pelaku Usaha (compliance credits).</w:t>
            </w:r>
          </w:p>
          <w:p w14:paraId="6882828C" w14:textId="77777777" w:rsidR="00147CD5" w:rsidRPr="00147CD5" w:rsidRDefault="00147CD5" w:rsidP="00147CD5">
            <w:pPr>
              <w:numPr>
                <w:ilvl w:val="1"/>
                <w:numId w:val="52"/>
              </w:num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SPE-GRK: Sertifikat Pengurangan Emisi Gas Rumah Kaca (voluntary emission reduction credits).</w:t>
            </w:r>
          </w:p>
          <w:p w14:paraId="71D734D6" w14:textId="77777777" w:rsidR="00147CD5" w:rsidRPr="00147CD5" w:rsidRDefault="00147CD5" w:rsidP="00147CD5">
            <w:pPr>
              <w:numPr>
                <w:ilvl w:val="0"/>
                <w:numId w:val="52"/>
              </w:num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7: Mandates that Carbon Exchange Operators facilitate continuous and orderly trading of carbon credits using electronic systems, either through direct transactions or intermediated via service users.</w:t>
            </w:r>
          </w:p>
          <w:p w14:paraId="6108FF67" w14:textId="3A084570" w:rsidR="00392F82" w:rsidRPr="00147CD5" w:rsidRDefault="00147CD5" w:rsidP="00147CD5">
            <w:pPr>
              <w:numPr>
                <w:ilvl w:val="0"/>
                <w:numId w:val="52"/>
              </w:num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8: Establishes requirements for transaction risk management and fund/credit settlement, ensuring that intermediated trading activities are safe and regulated</w:t>
            </w:r>
            <w:r w:rsidRPr="00147CD5">
              <w:rPr>
                <w:rFonts w:eastAsia="Times New Roman" w:cstheme="minorHAnsi"/>
                <w:b/>
                <w:bCs/>
                <w:kern w:val="0"/>
                <w:lang w:val="en-ID" w:eastAsia="en-GB"/>
                <w14:ligatures w14:val="none"/>
              </w:rPr>
              <w:t>.</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ACB09D0" w14:textId="049E3F7D" w:rsidR="00147CD5" w:rsidRPr="00147CD5" w:rsidRDefault="00147CD5" w:rsidP="00147CD5">
            <w:p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The policy tool establishes several mechanisms to ensure the integrity, fairness, and reliability of the carbon market in Indonesia. These include regulatory obligations on market conduct, operational transparency, risk management, and prohibitions on self-dealing:</w:t>
            </w:r>
          </w:p>
          <w:p w14:paraId="2A4432E0" w14:textId="77777777" w:rsidR="00147CD5" w:rsidRPr="00147CD5" w:rsidRDefault="00147CD5" w:rsidP="00147CD5">
            <w:pPr>
              <w:numPr>
                <w:ilvl w:val="0"/>
                <w:numId w:val="54"/>
              </w:numPr>
              <w:tabs>
                <w:tab w:val="num" w:pos="72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Orderly, Fair, and Efficient Market Operation</w:t>
            </w:r>
          </w:p>
          <w:p w14:paraId="15608BB3" w14:textId="77777777" w:rsidR="00147CD5" w:rsidRPr="00147CD5" w:rsidRDefault="00147CD5" w:rsidP="00147CD5">
            <w:pPr>
              <w:numPr>
                <w:ilvl w:val="1"/>
                <w:numId w:val="54"/>
              </w:numPr>
              <w:tabs>
                <w:tab w:val="num" w:pos="144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7(1) requires Carbon Exchange Operators to conduct the trading of carbon units in a regular, fair, and efficient manner.</w:t>
            </w:r>
          </w:p>
          <w:p w14:paraId="33DC2114" w14:textId="77777777" w:rsidR="00147CD5" w:rsidRPr="00147CD5" w:rsidRDefault="00147CD5" w:rsidP="00147CD5">
            <w:pPr>
              <w:numPr>
                <w:ilvl w:val="1"/>
                <w:numId w:val="54"/>
              </w:numPr>
              <w:tabs>
                <w:tab w:val="num" w:pos="144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7(2) mandates the use of electronic systems to facilitate continuous trading, increasing transparency and reducing manipulation risks.</w:t>
            </w:r>
          </w:p>
          <w:p w14:paraId="1EEDC7F2" w14:textId="77777777" w:rsidR="00147CD5" w:rsidRPr="00147CD5" w:rsidRDefault="00147CD5" w:rsidP="00147CD5">
            <w:pPr>
              <w:numPr>
                <w:ilvl w:val="0"/>
                <w:numId w:val="54"/>
              </w:numPr>
              <w:tabs>
                <w:tab w:val="num" w:pos="72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Trading and Settlement Controls</w:t>
            </w:r>
          </w:p>
          <w:p w14:paraId="231C53ED" w14:textId="77777777" w:rsidR="00147CD5" w:rsidRPr="00147CD5" w:rsidRDefault="00147CD5" w:rsidP="00147CD5">
            <w:pPr>
              <w:numPr>
                <w:ilvl w:val="1"/>
                <w:numId w:val="54"/>
              </w:numPr>
              <w:tabs>
                <w:tab w:val="num" w:pos="144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lastRenderedPageBreak/>
              <w:t>Article 7(5) obligates Carbon Exchanges to provide systems that cover matching of buy/sell offers and settlement mechanisms, both within the same sector and across sectors, in line with applicable laws.</w:t>
            </w:r>
          </w:p>
          <w:p w14:paraId="10CC69BE" w14:textId="77777777" w:rsidR="00147CD5" w:rsidRPr="00147CD5" w:rsidRDefault="00147CD5" w:rsidP="00147CD5">
            <w:pPr>
              <w:numPr>
                <w:ilvl w:val="1"/>
                <w:numId w:val="54"/>
              </w:numPr>
              <w:tabs>
                <w:tab w:val="num" w:pos="144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8(1) further requires the operator to ensure risk management, and verify the availability of funds and carbon units for any transaction.</w:t>
            </w:r>
          </w:p>
          <w:p w14:paraId="0D014BCF" w14:textId="77777777" w:rsidR="00147CD5" w:rsidRPr="00147CD5" w:rsidRDefault="00147CD5" w:rsidP="00147CD5">
            <w:pPr>
              <w:numPr>
                <w:ilvl w:val="0"/>
                <w:numId w:val="54"/>
              </w:numPr>
              <w:tabs>
                <w:tab w:val="num" w:pos="72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Prohibition on Proprietary Trading</w:t>
            </w:r>
          </w:p>
          <w:p w14:paraId="05C5F701" w14:textId="77777777" w:rsidR="00147CD5" w:rsidRPr="00147CD5" w:rsidRDefault="00147CD5" w:rsidP="00147CD5">
            <w:pPr>
              <w:numPr>
                <w:ilvl w:val="1"/>
                <w:numId w:val="54"/>
              </w:numPr>
              <w:tabs>
                <w:tab w:val="num" w:pos="144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9 prohibits Carbon Exchange Operators from trading for their own interest within the systems they manage, ensuring neutrality and avoiding conflicts of interest.</w:t>
            </w:r>
          </w:p>
          <w:p w14:paraId="16A19AB0" w14:textId="77777777" w:rsidR="00147CD5" w:rsidRPr="00147CD5" w:rsidRDefault="00147CD5" w:rsidP="00147CD5">
            <w:pPr>
              <w:numPr>
                <w:ilvl w:val="0"/>
                <w:numId w:val="54"/>
              </w:numPr>
              <w:tabs>
                <w:tab w:val="num" w:pos="72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Coordination and Supervision</w:t>
            </w:r>
          </w:p>
          <w:p w14:paraId="50B803B0" w14:textId="77777777" w:rsidR="00147CD5" w:rsidRPr="00147CD5" w:rsidRDefault="00147CD5" w:rsidP="00147CD5">
            <w:pPr>
              <w:numPr>
                <w:ilvl w:val="1"/>
                <w:numId w:val="54"/>
              </w:numPr>
              <w:tabs>
                <w:tab w:val="num" w:pos="1440"/>
              </w:tabs>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10 provides that development of market infrastructure must be done in coordination between the operator, OJK, and relevant ministries, ensuring oversight from multiple authorities.</w:t>
            </w:r>
          </w:p>
          <w:p w14:paraId="4656A85F" w14:textId="642A554D" w:rsidR="00392F82" w:rsidRPr="00147CD5" w:rsidRDefault="00147CD5" w:rsidP="00147CD5">
            <w:pPr>
              <w:numPr>
                <w:ilvl w:val="1"/>
                <w:numId w:val="54"/>
              </w:numPr>
              <w:jc w:val="both"/>
              <w:textAlignment w:val="baseline"/>
              <w:rPr>
                <w:rFonts w:eastAsia="Times New Roman" w:cstheme="minorHAnsi"/>
                <w:kern w:val="0"/>
                <w:lang w:val="en-ID" w:eastAsia="en-GB"/>
                <w14:ligatures w14:val="none"/>
              </w:rPr>
            </w:pPr>
            <w:r w:rsidRPr="00147CD5">
              <w:rPr>
                <w:rFonts w:eastAsia="Times New Roman" w:cstheme="minorHAnsi"/>
                <w:kern w:val="0"/>
                <w:lang w:val="en-ID" w:eastAsia="en-GB"/>
                <w14:ligatures w14:val="none"/>
              </w:rPr>
              <w:t>Article 31 outlines periodic and event-based reporting obligations, which further enhance accountability and regulatory visibility.</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0C261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0C261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CFD5F8" w14:textId="77777777" w:rsidR="001A018A" w:rsidRDefault="001A018A" w:rsidP="00874E39">
      <w:r>
        <w:separator/>
      </w:r>
    </w:p>
  </w:endnote>
  <w:endnote w:type="continuationSeparator" w:id="0">
    <w:p w14:paraId="6E8D475D" w14:textId="77777777" w:rsidR="001A018A" w:rsidRDefault="001A018A" w:rsidP="00874E39">
      <w:r>
        <w:continuationSeparator/>
      </w:r>
    </w:p>
  </w:endnote>
  <w:endnote w:type="continuationNotice" w:id="1">
    <w:p w14:paraId="037A73F1" w14:textId="77777777" w:rsidR="001A018A" w:rsidRDefault="001A01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ADE0C4" w14:textId="77777777" w:rsidR="001A018A" w:rsidRDefault="001A018A" w:rsidP="00874E39">
      <w:r>
        <w:separator/>
      </w:r>
    </w:p>
  </w:footnote>
  <w:footnote w:type="continuationSeparator" w:id="0">
    <w:p w14:paraId="5FEB8D36" w14:textId="77777777" w:rsidR="001A018A" w:rsidRDefault="001A018A" w:rsidP="00874E39">
      <w:r>
        <w:continuationSeparator/>
      </w:r>
    </w:p>
  </w:footnote>
  <w:footnote w:type="continuationNotice" w:id="1">
    <w:p w14:paraId="79340908" w14:textId="77777777" w:rsidR="001A018A" w:rsidRDefault="001A018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B0E501B"/>
    <w:multiLevelType w:val="multilevel"/>
    <w:tmpl w:val="A964D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16A48E9"/>
    <w:multiLevelType w:val="hybridMultilevel"/>
    <w:tmpl w:val="C3841B0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4E44BD"/>
    <w:multiLevelType w:val="multilevel"/>
    <w:tmpl w:val="920A1F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3215CAE"/>
    <w:multiLevelType w:val="multilevel"/>
    <w:tmpl w:val="8B0E3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19525AD"/>
    <w:multiLevelType w:val="multilevel"/>
    <w:tmpl w:val="EB3AAEF8"/>
    <w:lvl w:ilvl="0">
      <w:start w:val="1"/>
      <w:numFmt w:val="decimal"/>
      <w:lvlText w:val="%1)"/>
      <w:lvlJc w:val="left"/>
      <w:pPr>
        <w:ind w:left="720" w:hanging="360"/>
      </w:pPr>
    </w:lvl>
    <w:lvl w:ilvl="1">
      <w:start w:val="1"/>
      <w:numFmt w:val="lowerRoman"/>
      <w:lvlText w:val="%2."/>
      <w:lvlJc w:val="righ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64426C8"/>
    <w:multiLevelType w:val="multilevel"/>
    <w:tmpl w:val="0F9C3E58"/>
    <w:lvl w:ilvl="0">
      <w:start w:val="1"/>
      <w:numFmt w:val="decimal"/>
      <w:lvlText w:val="%1)"/>
      <w:lvlJc w:val="left"/>
      <w:pPr>
        <w:ind w:left="720" w:hanging="360"/>
      </w:pPr>
      <w:rPr>
        <w:rFont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8"/>
  </w:num>
  <w:num w:numId="3" w16cid:durableId="690952733">
    <w:abstractNumId w:val="47"/>
  </w:num>
  <w:num w:numId="4" w16cid:durableId="1689330127">
    <w:abstractNumId w:val="1"/>
  </w:num>
  <w:num w:numId="5" w16cid:durableId="401291788">
    <w:abstractNumId w:val="33"/>
  </w:num>
  <w:num w:numId="6" w16cid:durableId="1276788690">
    <w:abstractNumId w:val="17"/>
  </w:num>
  <w:num w:numId="7" w16cid:durableId="566767730">
    <w:abstractNumId w:val="24"/>
  </w:num>
  <w:num w:numId="8" w16cid:durableId="1780710843">
    <w:abstractNumId w:val="39"/>
  </w:num>
  <w:num w:numId="9" w16cid:durableId="1685783054">
    <w:abstractNumId w:val="3"/>
  </w:num>
  <w:num w:numId="10" w16cid:durableId="950551298">
    <w:abstractNumId w:val="36"/>
  </w:num>
  <w:num w:numId="11" w16cid:durableId="1591960799">
    <w:abstractNumId w:val="53"/>
  </w:num>
  <w:num w:numId="12" w16cid:durableId="1344891410">
    <w:abstractNumId w:val="12"/>
  </w:num>
  <w:num w:numId="13" w16cid:durableId="2023899324">
    <w:abstractNumId w:val="14"/>
  </w:num>
  <w:num w:numId="14" w16cid:durableId="430587014">
    <w:abstractNumId w:val="10"/>
  </w:num>
  <w:num w:numId="15" w16cid:durableId="1742869061">
    <w:abstractNumId w:val="35"/>
  </w:num>
  <w:num w:numId="16" w16cid:durableId="1996450437">
    <w:abstractNumId w:val="23"/>
  </w:num>
  <w:num w:numId="17" w16cid:durableId="1529031027">
    <w:abstractNumId w:val="11"/>
  </w:num>
  <w:num w:numId="18" w16cid:durableId="568614617">
    <w:abstractNumId w:val="21"/>
  </w:num>
  <w:num w:numId="19" w16cid:durableId="1530605858">
    <w:abstractNumId w:val="48"/>
  </w:num>
  <w:num w:numId="20" w16cid:durableId="1328172586">
    <w:abstractNumId w:val="19"/>
  </w:num>
  <w:num w:numId="21" w16cid:durableId="184827816">
    <w:abstractNumId w:val="32"/>
  </w:num>
  <w:num w:numId="22" w16cid:durableId="1785346599">
    <w:abstractNumId w:val="38"/>
  </w:num>
  <w:num w:numId="23" w16cid:durableId="1294288901">
    <w:abstractNumId w:val="31"/>
  </w:num>
  <w:num w:numId="24" w16cid:durableId="1603957975">
    <w:abstractNumId w:val="50"/>
  </w:num>
  <w:num w:numId="25" w16cid:durableId="1659531047">
    <w:abstractNumId w:val="49"/>
  </w:num>
  <w:num w:numId="26" w16cid:durableId="752774403">
    <w:abstractNumId w:val="26"/>
  </w:num>
  <w:num w:numId="27" w16cid:durableId="347872198">
    <w:abstractNumId w:val="7"/>
  </w:num>
  <w:num w:numId="28" w16cid:durableId="537133110">
    <w:abstractNumId w:val="16"/>
  </w:num>
  <w:num w:numId="29" w16cid:durableId="1632318729">
    <w:abstractNumId w:val="51"/>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3"/>
  </w:num>
  <w:num w:numId="36" w16cid:durableId="1952588250">
    <w:abstractNumId w:val="42"/>
  </w:num>
  <w:num w:numId="37" w16cid:durableId="1712027211">
    <w:abstractNumId w:val="4"/>
  </w:num>
  <w:num w:numId="38" w16cid:durableId="2033795929">
    <w:abstractNumId w:val="2"/>
  </w:num>
  <w:num w:numId="39" w16cid:durableId="1238595582">
    <w:abstractNumId w:val="29"/>
  </w:num>
  <w:num w:numId="40" w16cid:durableId="416558262">
    <w:abstractNumId w:val="25"/>
  </w:num>
  <w:num w:numId="41" w16cid:durableId="1543715517">
    <w:abstractNumId w:val="22"/>
  </w:num>
  <w:num w:numId="42" w16cid:durableId="452208391">
    <w:abstractNumId w:val="18"/>
  </w:num>
  <w:num w:numId="43" w16cid:durableId="260340070">
    <w:abstractNumId w:val="0"/>
  </w:num>
  <w:num w:numId="44" w16cid:durableId="1639914969">
    <w:abstractNumId w:val="6"/>
  </w:num>
  <w:num w:numId="45" w16cid:durableId="1554191892">
    <w:abstractNumId w:val="46"/>
  </w:num>
  <w:num w:numId="46" w16cid:durableId="947811845">
    <w:abstractNumId w:val="52"/>
  </w:num>
  <w:num w:numId="47" w16cid:durableId="342588554">
    <w:abstractNumId w:val="30"/>
  </w:num>
  <w:num w:numId="48" w16cid:durableId="318391343">
    <w:abstractNumId w:val="41"/>
  </w:num>
  <w:num w:numId="49" w16cid:durableId="1263341284">
    <w:abstractNumId w:val="15"/>
  </w:num>
  <w:num w:numId="50" w16cid:durableId="570192890">
    <w:abstractNumId w:val="5"/>
  </w:num>
  <w:num w:numId="51" w16cid:durableId="2097245733">
    <w:abstractNumId w:val="9"/>
  </w:num>
  <w:num w:numId="52" w16cid:durableId="2060009659">
    <w:abstractNumId w:val="8"/>
  </w:num>
  <w:num w:numId="53" w16cid:durableId="1962691197">
    <w:abstractNumId w:val="45"/>
  </w:num>
  <w:num w:numId="54" w16cid:durableId="692270609">
    <w:abstractNumId w:val="2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A87"/>
    <w:rsid w:val="000A0D34"/>
    <w:rsid w:val="000A1365"/>
    <w:rsid w:val="000A1490"/>
    <w:rsid w:val="000A14F1"/>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614"/>
    <w:rsid w:val="000C2857"/>
    <w:rsid w:val="000C52F1"/>
    <w:rsid w:val="000D0592"/>
    <w:rsid w:val="000D0F73"/>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2997"/>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47CD5"/>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18A"/>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1F3"/>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C4C"/>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1F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204"/>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99D"/>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29A"/>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53D"/>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4261"/>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963"/>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837"/>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E7C5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707"/>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C67"/>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050"/>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BFD"/>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F62"/>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B85"/>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2A8"/>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88"/>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B6B"/>
    <w:rsid w:val="00CE626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A3"/>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061D"/>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81E"/>
    <w:rsid w:val="00DB61E7"/>
    <w:rsid w:val="00DB6C3C"/>
    <w:rsid w:val="00DC18A5"/>
    <w:rsid w:val="00DC1D8C"/>
    <w:rsid w:val="00DC231D"/>
    <w:rsid w:val="00DC31BF"/>
    <w:rsid w:val="00DC33EF"/>
    <w:rsid w:val="00DC4911"/>
    <w:rsid w:val="00DC6F50"/>
    <w:rsid w:val="00DC7215"/>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AC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219"/>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72A8"/>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CE5B6B"/>
    <w:pPr>
      <w:spacing w:before="100" w:beforeAutospacing="1" w:after="100" w:afterAutospacing="1"/>
    </w:pPr>
    <w:rPr>
      <w:rFonts w:ascii="Times New Roman" w:eastAsia="Times New Roman" w:hAnsi="Times New Roman" w:cs="Times New Roman"/>
      <w:kern w:val="0"/>
      <w:lang w:val="en-ID"/>
      <w14:ligatures w14:val="none"/>
    </w:rPr>
  </w:style>
  <w:style w:type="character" w:customStyle="1" w:styleId="apple-converted-space">
    <w:name w:val="apple-converted-space"/>
    <w:basedOn w:val="DefaultParagraphFont"/>
    <w:rsid w:val="00CE5B6B"/>
  </w:style>
  <w:style w:type="character" w:styleId="Strong">
    <w:name w:val="Strong"/>
    <w:basedOn w:val="DefaultParagraphFont"/>
    <w:uiPriority w:val="22"/>
    <w:qFormat/>
    <w:rsid w:val="00CE5B6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31178">
      <w:bodyDiv w:val="1"/>
      <w:marLeft w:val="0"/>
      <w:marRight w:val="0"/>
      <w:marTop w:val="0"/>
      <w:marBottom w:val="0"/>
      <w:divBdr>
        <w:top w:val="none" w:sz="0" w:space="0" w:color="auto"/>
        <w:left w:val="none" w:sz="0" w:space="0" w:color="auto"/>
        <w:bottom w:val="none" w:sz="0" w:space="0" w:color="auto"/>
        <w:right w:val="none" w:sz="0" w:space="0" w:color="auto"/>
      </w:divBdr>
    </w:div>
    <w:div w:id="36052138">
      <w:bodyDiv w:val="1"/>
      <w:marLeft w:val="0"/>
      <w:marRight w:val="0"/>
      <w:marTop w:val="0"/>
      <w:marBottom w:val="0"/>
      <w:divBdr>
        <w:top w:val="none" w:sz="0" w:space="0" w:color="auto"/>
        <w:left w:val="none" w:sz="0" w:space="0" w:color="auto"/>
        <w:bottom w:val="none" w:sz="0" w:space="0" w:color="auto"/>
        <w:right w:val="none" w:sz="0" w:space="0" w:color="auto"/>
      </w:divBdr>
    </w:div>
    <w:div w:id="57828195">
      <w:bodyDiv w:val="1"/>
      <w:marLeft w:val="0"/>
      <w:marRight w:val="0"/>
      <w:marTop w:val="0"/>
      <w:marBottom w:val="0"/>
      <w:divBdr>
        <w:top w:val="none" w:sz="0" w:space="0" w:color="auto"/>
        <w:left w:val="none" w:sz="0" w:space="0" w:color="auto"/>
        <w:bottom w:val="none" w:sz="0" w:space="0" w:color="auto"/>
        <w:right w:val="none" w:sz="0" w:space="0" w:color="auto"/>
      </w:divBdr>
    </w:div>
    <w:div w:id="132187214">
      <w:bodyDiv w:val="1"/>
      <w:marLeft w:val="0"/>
      <w:marRight w:val="0"/>
      <w:marTop w:val="0"/>
      <w:marBottom w:val="0"/>
      <w:divBdr>
        <w:top w:val="none" w:sz="0" w:space="0" w:color="auto"/>
        <w:left w:val="none" w:sz="0" w:space="0" w:color="auto"/>
        <w:bottom w:val="none" w:sz="0" w:space="0" w:color="auto"/>
        <w:right w:val="none" w:sz="0" w:space="0" w:color="auto"/>
      </w:divBdr>
      <w:divsChild>
        <w:div w:id="142294758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5654699">
      <w:bodyDiv w:val="1"/>
      <w:marLeft w:val="0"/>
      <w:marRight w:val="0"/>
      <w:marTop w:val="0"/>
      <w:marBottom w:val="0"/>
      <w:divBdr>
        <w:top w:val="none" w:sz="0" w:space="0" w:color="auto"/>
        <w:left w:val="none" w:sz="0" w:space="0" w:color="auto"/>
        <w:bottom w:val="none" w:sz="0" w:space="0" w:color="auto"/>
        <w:right w:val="none" w:sz="0" w:space="0" w:color="auto"/>
      </w:divBdr>
    </w:div>
    <w:div w:id="183515033">
      <w:bodyDiv w:val="1"/>
      <w:marLeft w:val="0"/>
      <w:marRight w:val="0"/>
      <w:marTop w:val="0"/>
      <w:marBottom w:val="0"/>
      <w:divBdr>
        <w:top w:val="none" w:sz="0" w:space="0" w:color="auto"/>
        <w:left w:val="none" w:sz="0" w:space="0" w:color="auto"/>
        <w:bottom w:val="none" w:sz="0" w:space="0" w:color="auto"/>
        <w:right w:val="none" w:sz="0" w:space="0" w:color="auto"/>
      </w:divBdr>
      <w:divsChild>
        <w:div w:id="731680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3275677">
      <w:bodyDiv w:val="1"/>
      <w:marLeft w:val="0"/>
      <w:marRight w:val="0"/>
      <w:marTop w:val="0"/>
      <w:marBottom w:val="0"/>
      <w:divBdr>
        <w:top w:val="none" w:sz="0" w:space="0" w:color="auto"/>
        <w:left w:val="none" w:sz="0" w:space="0" w:color="auto"/>
        <w:bottom w:val="none" w:sz="0" w:space="0" w:color="auto"/>
        <w:right w:val="none" w:sz="0" w:space="0" w:color="auto"/>
      </w:divBdr>
    </w:div>
    <w:div w:id="257107940">
      <w:bodyDiv w:val="1"/>
      <w:marLeft w:val="0"/>
      <w:marRight w:val="0"/>
      <w:marTop w:val="0"/>
      <w:marBottom w:val="0"/>
      <w:divBdr>
        <w:top w:val="none" w:sz="0" w:space="0" w:color="auto"/>
        <w:left w:val="none" w:sz="0" w:space="0" w:color="auto"/>
        <w:bottom w:val="none" w:sz="0" w:space="0" w:color="auto"/>
        <w:right w:val="none" w:sz="0" w:space="0" w:color="auto"/>
      </w:divBdr>
    </w:div>
    <w:div w:id="303706371">
      <w:bodyDiv w:val="1"/>
      <w:marLeft w:val="0"/>
      <w:marRight w:val="0"/>
      <w:marTop w:val="0"/>
      <w:marBottom w:val="0"/>
      <w:divBdr>
        <w:top w:val="none" w:sz="0" w:space="0" w:color="auto"/>
        <w:left w:val="none" w:sz="0" w:space="0" w:color="auto"/>
        <w:bottom w:val="none" w:sz="0" w:space="0" w:color="auto"/>
        <w:right w:val="none" w:sz="0" w:space="0" w:color="auto"/>
      </w:divBdr>
    </w:div>
    <w:div w:id="346253778">
      <w:bodyDiv w:val="1"/>
      <w:marLeft w:val="0"/>
      <w:marRight w:val="0"/>
      <w:marTop w:val="0"/>
      <w:marBottom w:val="0"/>
      <w:divBdr>
        <w:top w:val="none" w:sz="0" w:space="0" w:color="auto"/>
        <w:left w:val="none" w:sz="0" w:space="0" w:color="auto"/>
        <w:bottom w:val="none" w:sz="0" w:space="0" w:color="auto"/>
        <w:right w:val="none" w:sz="0" w:space="0" w:color="auto"/>
      </w:divBdr>
    </w:div>
    <w:div w:id="406266980">
      <w:bodyDiv w:val="1"/>
      <w:marLeft w:val="0"/>
      <w:marRight w:val="0"/>
      <w:marTop w:val="0"/>
      <w:marBottom w:val="0"/>
      <w:divBdr>
        <w:top w:val="none" w:sz="0" w:space="0" w:color="auto"/>
        <w:left w:val="none" w:sz="0" w:space="0" w:color="auto"/>
        <w:bottom w:val="none" w:sz="0" w:space="0" w:color="auto"/>
        <w:right w:val="none" w:sz="0" w:space="0" w:color="auto"/>
      </w:divBdr>
    </w:div>
    <w:div w:id="406851988">
      <w:bodyDiv w:val="1"/>
      <w:marLeft w:val="0"/>
      <w:marRight w:val="0"/>
      <w:marTop w:val="0"/>
      <w:marBottom w:val="0"/>
      <w:divBdr>
        <w:top w:val="none" w:sz="0" w:space="0" w:color="auto"/>
        <w:left w:val="none" w:sz="0" w:space="0" w:color="auto"/>
        <w:bottom w:val="none" w:sz="0" w:space="0" w:color="auto"/>
        <w:right w:val="none" w:sz="0" w:space="0" w:color="auto"/>
      </w:divBdr>
    </w:div>
    <w:div w:id="417555110">
      <w:bodyDiv w:val="1"/>
      <w:marLeft w:val="0"/>
      <w:marRight w:val="0"/>
      <w:marTop w:val="0"/>
      <w:marBottom w:val="0"/>
      <w:divBdr>
        <w:top w:val="none" w:sz="0" w:space="0" w:color="auto"/>
        <w:left w:val="none" w:sz="0" w:space="0" w:color="auto"/>
        <w:bottom w:val="none" w:sz="0" w:space="0" w:color="auto"/>
        <w:right w:val="none" w:sz="0" w:space="0" w:color="auto"/>
      </w:divBdr>
    </w:div>
    <w:div w:id="446699647">
      <w:bodyDiv w:val="1"/>
      <w:marLeft w:val="0"/>
      <w:marRight w:val="0"/>
      <w:marTop w:val="0"/>
      <w:marBottom w:val="0"/>
      <w:divBdr>
        <w:top w:val="none" w:sz="0" w:space="0" w:color="auto"/>
        <w:left w:val="none" w:sz="0" w:space="0" w:color="auto"/>
        <w:bottom w:val="none" w:sz="0" w:space="0" w:color="auto"/>
        <w:right w:val="none" w:sz="0" w:space="0" w:color="auto"/>
      </w:divBdr>
    </w:div>
    <w:div w:id="531962250">
      <w:bodyDiv w:val="1"/>
      <w:marLeft w:val="0"/>
      <w:marRight w:val="0"/>
      <w:marTop w:val="0"/>
      <w:marBottom w:val="0"/>
      <w:divBdr>
        <w:top w:val="none" w:sz="0" w:space="0" w:color="auto"/>
        <w:left w:val="none" w:sz="0" w:space="0" w:color="auto"/>
        <w:bottom w:val="none" w:sz="0" w:space="0" w:color="auto"/>
        <w:right w:val="none" w:sz="0" w:space="0" w:color="auto"/>
      </w:divBdr>
    </w:div>
    <w:div w:id="54683955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7765043">
      <w:bodyDiv w:val="1"/>
      <w:marLeft w:val="0"/>
      <w:marRight w:val="0"/>
      <w:marTop w:val="0"/>
      <w:marBottom w:val="0"/>
      <w:divBdr>
        <w:top w:val="none" w:sz="0" w:space="0" w:color="auto"/>
        <w:left w:val="none" w:sz="0" w:space="0" w:color="auto"/>
        <w:bottom w:val="none" w:sz="0" w:space="0" w:color="auto"/>
        <w:right w:val="none" w:sz="0" w:space="0" w:color="auto"/>
      </w:divBdr>
    </w:div>
    <w:div w:id="592321558">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1574391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07212">
      <w:bodyDiv w:val="1"/>
      <w:marLeft w:val="0"/>
      <w:marRight w:val="0"/>
      <w:marTop w:val="0"/>
      <w:marBottom w:val="0"/>
      <w:divBdr>
        <w:top w:val="none" w:sz="0" w:space="0" w:color="auto"/>
        <w:left w:val="none" w:sz="0" w:space="0" w:color="auto"/>
        <w:bottom w:val="none" w:sz="0" w:space="0" w:color="auto"/>
        <w:right w:val="none" w:sz="0" w:space="0" w:color="auto"/>
      </w:divBdr>
    </w:div>
    <w:div w:id="1111709990">
      <w:bodyDiv w:val="1"/>
      <w:marLeft w:val="0"/>
      <w:marRight w:val="0"/>
      <w:marTop w:val="0"/>
      <w:marBottom w:val="0"/>
      <w:divBdr>
        <w:top w:val="none" w:sz="0" w:space="0" w:color="auto"/>
        <w:left w:val="none" w:sz="0" w:space="0" w:color="auto"/>
        <w:bottom w:val="none" w:sz="0" w:space="0" w:color="auto"/>
        <w:right w:val="none" w:sz="0" w:space="0" w:color="auto"/>
      </w:divBdr>
    </w:div>
    <w:div w:id="116820467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8802363">
      <w:bodyDiv w:val="1"/>
      <w:marLeft w:val="0"/>
      <w:marRight w:val="0"/>
      <w:marTop w:val="0"/>
      <w:marBottom w:val="0"/>
      <w:divBdr>
        <w:top w:val="none" w:sz="0" w:space="0" w:color="auto"/>
        <w:left w:val="none" w:sz="0" w:space="0" w:color="auto"/>
        <w:bottom w:val="none" w:sz="0" w:space="0" w:color="auto"/>
        <w:right w:val="none" w:sz="0" w:space="0" w:color="auto"/>
      </w:divBdr>
    </w:div>
    <w:div w:id="1326202888">
      <w:bodyDiv w:val="1"/>
      <w:marLeft w:val="0"/>
      <w:marRight w:val="0"/>
      <w:marTop w:val="0"/>
      <w:marBottom w:val="0"/>
      <w:divBdr>
        <w:top w:val="none" w:sz="0" w:space="0" w:color="auto"/>
        <w:left w:val="none" w:sz="0" w:space="0" w:color="auto"/>
        <w:bottom w:val="none" w:sz="0" w:space="0" w:color="auto"/>
        <w:right w:val="none" w:sz="0" w:space="0" w:color="auto"/>
      </w:divBdr>
    </w:div>
    <w:div w:id="1400521458">
      <w:bodyDiv w:val="1"/>
      <w:marLeft w:val="0"/>
      <w:marRight w:val="0"/>
      <w:marTop w:val="0"/>
      <w:marBottom w:val="0"/>
      <w:divBdr>
        <w:top w:val="none" w:sz="0" w:space="0" w:color="auto"/>
        <w:left w:val="none" w:sz="0" w:space="0" w:color="auto"/>
        <w:bottom w:val="none" w:sz="0" w:space="0" w:color="auto"/>
        <w:right w:val="none" w:sz="0" w:space="0" w:color="auto"/>
      </w:divBdr>
    </w:div>
    <w:div w:id="1446344492">
      <w:bodyDiv w:val="1"/>
      <w:marLeft w:val="0"/>
      <w:marRight w:val="0"/>
      <w:marTop w:val="0"/>
      <w:marBottom w:val="0"/>
      <w:divBdr>
        <w:top w:val="none" w:sz="0" w:space="0" w:color="auto"/>
        <w:left w:val="none" w:sz="0" w:space="0" w:color="auto"/>
        <w:bottom w:val="none" w:sz="0" w:space="0" w:color="auto"/>
        <w:right w:val="none" w:sz="0" w:space="0" w:color="auto"/>
      </w:divBdr>
    </w:div>
    <w:div w:id="1560478844">
      <w:bodyDiv w:val="1"/>
      <w:marLeft w:val="0"/>
      <w:marRight w:val="0"/>
      <w:marTop w:val="0"/>
      <w:marBottom w:val="0"/>
      <w:divBdr>
        <w:top w:val="none" w:sz="0" w:space="0" w:color="auto"/>
        <w:left w:val="none" w:sz="0" w:space="0" w:color="auto"/>
        <w:bottom w:val="none" w:sz="0" w:space="0" w:color="auto"/>
        <w:right w:val="none" w:sz="0" w:space="0" w:color="auto"/>
      </w:divBdr>
    </w:div>
    <w:div w:id="1684359852">
      <w:bodyDiv w:val="1"/>
      <w:marLeft w:val="0"/>
      <w:marRight w:val="0"/>
      <w:marTop w:val="0"/>
      <w:marBottom w:val="0"/>
      <w:divBdr>
        <w:top w:val="none" w:sz="0" w:space="0" w:color="auto"/>
        <w:left w:val="none" w:sz="0" w:space="0" w:color="auto"/>
        <w:bottom w:val="none" w:sz="0" w:space="0" w:color="auto"/>
        <w:right w:val="none" w:sz="0" w:space="0" w:color="auto"/>
      </w:divBdr>
    </w:div>
    <w:div w:id="178264561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252145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363484">
      <w:bodyDiv w:val="1"/>
      <w:marLeft w:val="0"/>
      <w:marRight w:val="0"/>
      <w:marTop w:val="0"/>
      <w:marBottom w:val="0"/>
      <w:divBdr>
        <w:top w:val="none" w:sz="0" w:space="0" w:color="auto"/>
        <w:left w:val="none" w:sz="0" w:space="0" w:color="auto"/>
        <w:bottom w:val="none" w:sz="0" w:space="0" w:color="auto"/>
        <w:right w:val="none" w:sz="0" w:space="0" w:color="auto"/>
      </w:divBdr>
    </w:div>
    <w:div w:id="2099977875">
      <w:bodyDiv w:val="1"/>
      <w:marLeft w:val="0"/>
      <w:marRight w:val="0"/>
      <w:marTop w:val="0"/>
      <w:marBottom w:val="0"/>
      <w:divBdr>
        <w:top w:val="none" w:sz="0" w:space="0" w:color="auto"/>
        <w:left w:val="none" w:sz="0" w:space="0" w:color="auto"/>
        <w:bottom w:val="none" w:sz="0" w:space="0" w:color="auto"/>
        <w:right w:val="none" w:sz="0" w:space="0" w:color="auto"/>
      </w:divBdr>
    </w:div>
    <w:div w:id="2105832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083434/https://www.idx.co.id/id/berita/siaran-pers/2016?__cf_chl_rt_tk=yTRAkUrQpuHjkaMLr2PilgAfDPnZFTM9NUCdW2ByGLk-1751444806-1.0.1.1-eosxksdIsem8dwhZGNdVeq5QpYC9.vwftDv4rYJYsSs"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2083855/https:/srn.menlhk.go.id/index.php?r=home%2Findex"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085101/https://www.idxcarbon.co.id/document/share/3/fb5185f8-a662-44f4-a1f5-f1f1b5ed2b25"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2083530/https://finance.detik.com/bursa-dan-valas/d-7944674/ojk-denda-pelaku-di-pasar-modal-bursa-karbon-hingga-rp-6-8-miliar"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02082827/https://www.tempo.co/ekonomi/ojk-kumpulkan-rp130-5-miliar-denda-dari-sanksi-bidang-pasar-modal-sepanjang-2024-1187873"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Pages>
  <Words>22578</Words>
  <Characters>135470</Characters>
  <Application>Microsoft Office Word</Application>
  <DocSecurity>0</DocSecurity>
  <Lines>8466</Lines>
  <Paragraphs>4789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4</cp:revision>
  <cp:lastPrinted>2025-03-21T00:14:00Z</cp:lastPrinted>
  <dcterms:created xsi:type="dcterms:W3CDTF">2025-07-07T12:00:00Z</dcterms:created>
  <dcterms:modified xsi:type="dcterms:W3CDTF">2025-07-07T12:41:00Z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5917cadd-6121-4c68-baa9-97448a6cc3b5</vt:lpwstr>
  </property>
</Properties>
</file>